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701"/>
          <w:tab w:val="right" w:pos="9923"/>
        </w:tabs>
        <w:spacing w:before="120" w:beforeLines="0" w:after="0" w:afterLines="0" w:line="240" w:lineRule="auto"/>
        <w:jc w:val="left"/>
        <w:rPr>
          <w:rFonts w:hint="default" w:ascii="Arial" w:hAnsi="Arial" w:eastAsia="宋体"/>
          <w:b/>
          <w:kern w:val="0"/>
          <w:sz w:val="24"/>
          <w:szCs w:val="24"/>
          <w:lang w:val="en-US" w:eastAsia="zh-CN"/>
        </w:rPr>
      </w:pPr>
      <w:r>
        <w:rPr>
          <w:rFonts w:ascii="Arial" w:hAnsi="Arial" w:eastAsia="MS Mincho"/>
          <w:b/>
          <w:kern w:val="0"/>
          <w:sz w:val="24"/>
          <w:szCs w:val="24"/>
          <w:lang w:val="de-DE"/>
        </w:rPr>
        <w:t>3GPP TSG-RAN WG2 Meeting #127</w:t>
      </w:r>
      <w:r>
        <w:rPr>
          <w:rFonts w:ascii="Arial" w:hAnsi="Arial" w:eastAsia="MS Mincho"/>
          <w:b/>
          <w:kern w:val="0"/>
          <w:sz w:val="24"/>
          <w:szCs w:val="24"/>
          <w:lang w:val="de-DE"/>
        </w:rPr>
        <w:tab/>
      </w:r>
      <w:r>
        <w:rPr>
          <w:rFonts w:ascii="Arial" w:hAnsi="Arial" w:eastAsia="MS Mincho"/>
          <w:b/>
          <w:kern w:val="0"/>
          <w:sz w:val="24"/>
          <w:szCs w:val="24"/>
          <w:lang w:val="de-DE"/>
        </w:rPr>
        <w:t>R2-240</w:t>
      </w:r>
      <w:r>
        <w:rPr>
          <w:rFonts w:hint="eastAsia" w:ascii="Arial" w:hAnsi="Arial" w:eastAsia="宋体"/>
          <w:b/>
          <w:kern w:val="0"/>
          <w:sz w:val="24"/>
          <w:szCs w:val="24"/>
          <w:lang w:val="en-US" w:eastAsia="zh-CN"/>
        </w:rPr>
        <w:t>6421</w:t>
      </w:r>
    </w:p>
    <w:p>
      <w:pPr>
        <w:widowControl w:val="0"/>
        <w:tabs>
          <w:tab w:val="left" w:pos="1701"/>
          <w:tab w:val="right" w:pos="9923"/>
        </w:tabs>
        <w:spacing w:before="120" w:beforeLines="0" w:after="0" w:afterLines="0" w:line="240" w:lineRule="auto"/>
        <w:jc w:val="left"/>
        <w:rPr>
          <w:rFonts w:ascii="Arial" w:hAnsi="Arial" w:eastAsia="MS Mincho"/>
          <w:b/>
          <w:kern w:val="0"/>
          <w:sz w:val="24"/>
          <w:szCs w:val="24"/>
          <w:lang w:val="de-DE"/>
        </w:rPr>
      </w:pPr>
      <w:r>
        <w:rPr>
          <w:rFonts w:ascii="Arial" w:hAnsi="Arial" w:eastAsia="MS Mincho"/>
          <w:b/>
          <w:kern w:val="0"/>
          <w:sz w:val="24"/>
          <w:szCs w:val="24"/>
          <w:lang w:val="de-DE"/>
        </w:rPr>
        <w:t>Maastricht, Netherlands, Aug 19</w:t>
      </w:r>
      <w:r>
        <w:rPr>
          <w:rFonts w:ascii="Arial" w:hAnsi="Arial" w:eastAsia="MS Mincho"/>
          <w:b/>
          <w:kern w:val="0"/>
          <w:sz w:val="24"/>
          <w:szCs w:val="24"/>
          <w:vertAlign w:val="superscript"/>
          <w:lang w:val="de-DE"/>
        </w:rPr>
        <w:t>th</w:t>
      </w:r>
      <w:r>
        <w:rPr>
          <w:rFonts w:ascii="Arial" w:hAnsi="Arial" w:eastAsia="MS Mincho"/>
          <w:b/>
          <w:kern w:val="0"/>
          <w:sz w:val="24"/>
          <w:szCs w:val="24"/>
          <w:lang w:val="de-DE"/>
        </w:rPr>
        <w:t xml:space="preserve"> – 23</w:t>
      </w:r>
      <w:r>
        <w:rPr>
          <w:rFonts w:ascii="Arial" w:hAnsi="Arial" w:eastAsia="MS Mincho"/>
          <w:b/>
          <w:kern w:val="0"/>
          <w:sz w:val="24"/>
          <w:szCs w:val="24"/>
          <w:vertAlign w:val="superscript"/>
          <w:lang w:val="de-DE"/>
        </w:rPr>
        <w:t>rd</w:t>
      </w:r>
      <w:r>
        <w:rPr>
          <w:rFonts w:ascii="Arial" w:hAnsi="Arial" w:eastAsia="MS Mincho"/>
          <w:b/>
          <w:kern w:val="0"/>
          <w:sz w:val="24"/>
          <w:szCs w:val="24"/>
          <w:lang w:val="de-DE"/>
        </w:rPr>
        <w:t>, 2024</w:t>
      </w:r>
    </w:p>
    <w:p>
      <w:pPr>
        <w:pStyle w:val="27"/>
        <w:spacing w:before="120"/>
        <w:ind w:left="0" w:firstLine="0"/>
        <w:rPr>
          <w:rFonts w:cs="Arial"/>
          <w:sz w:val="24"/>
          <w:szCs w:val="24"/>
          <w:lang w:val="de-DE"/>
        </w:rPr>
      </w:pPr>
    </w:p>
    <w:p>
      <w:pPr>
        <w:pStyle w:val="27"/>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pPr>
        <w:overflowPunct w:val="0"/>
        <w:autoSpaceDE w:val="0"/>
        <w:autoSpaceDN w:val="0"/>
        <w:adjustRightInd w:val="0"/>
        <w:snapToGrid w:val="0"/>
        <w:spacing w:before="120" w:after="120"/>
        <w:ind w:left="2100" w:hanging="2100"/>
        <w:jc w:val="left"/>
        <w:textAlignment w:val="baseline"/>
        <w:rPr>
          <w:rFonts w:ascii="Arial" w:hAnsi="Arial" w:eastAsia="宋体" w:cs="Arial"/>
          <w:b/>
          <w:bCs/>
          <w:sz w:val="24"/>
          <w:szCs w:val="24"/>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 xml:space="preserve"> Discussion</w:t>
      </w:r>
      <w:r>
        <w:rPr>
          <w:rFonts w:ascii="Arial" w:hAnsi="Arial" w:eastAsia="宋体" w:cs="Arial"/>
          <w:b/>
          <w:bCs/>
          <w:sz w:val="24"/>
          <w:szCs w:val="24"/>
        </w:rPr>
        <w:t xml:space="preserve"> on measurement </w:t>
      </w:r>
      <w:r>
        <w:rPr>
          <w:rFonts w:hint="eastAsia" w:ascii="Arial" w:hAnsi="Arial" w:eastAsia="宋体" w:cs="Arial"/>
          <w:b/>
          <w:bCs/>
          <w:sz w:val="24"/>
          <w:szCs w:val="24"/>
        </w:rPr>
        <w:t>reporting</w:t>
      </w:r>
    </w:p>
    <w:p>
      <w:pPr>
        <w:pStyle w:val="27"/>
        <w:spacing w:before="120"/>
        <w:rPr>
          <w:rFonts w:eastAsia="宋体" w:cs="Arial"/>
          <w:sz w:val="24"/>
          <w:szCs w:val="24"/>
        </w:rPr>
      </w:pPr>
      <w:r>
        <w:rPr>
          <w:rFonts w:cs="Arial"/>
          <w:sz w:val="24"/>
          <w:szCs w:val="24"/>
        </w:rPr>
        <w:t>Agenda item:</w:t>
      </w:r>
      <w:r>
        <w:rPr>
          <w:rFonts w:cs="Arial"/>
          <w:sz w:val="24"/>
          <w:szCs w:val="24"/>
        </w:rPr>
        <w:tab/>
      </w:r>
      <w:r>
        <w:rPr>
          <w:rFonts w:cs="Arial"/>
          <w:sz w:val="24"/>
          <w:szCs w:val="24"/>
        </w:rPr>
        <w:t>8.6.3</w:t>
      </w:r>
    </w:p>
    <w:p>
      <w:pPr>
        <w:pStyle w:val="27"/>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spacing w:before="120" w:after="120"/>
        <w:rPr>
          <w:rFonts w:eastAsia="宋体"/>
        </w:rPr>
      </w:pPr>
      <w:r>
        <w:rPr>
          <w:rFonts w:eastAsia="宋体"/>
        </w:rPr>
        <w:t>At last meeting, we discussed event-triggered L1 measurement reporting for LTM and made the following agreement</w:t>
      </w:r>
      <w:r>
        <w:rPr>
          <w:rFonts w:hint="eastAsia" w:eastAsia="宋体"/>
        </w:rPr>
        <w:t xml:space="preserve"> [1]</w:t>
      </w:r>
      <w:r>
        <w:rPr>
          <w:rFonts w:eastAsia="宋体"/>
        </w:rPr>
        <w:t>:</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b/>
          <w:bCs/>
          <w:lang w:val="en-US"/>
        </w:rPr>
      </w:pPr>
      <w:r>
        <w:rPr>
          <w:b/>
          <w:bCs/>
          <w:lang w:val="en-US"/>
        </w:rPr>
        <w:t>Agreements on measurement enhancements for LTM:</w:t>
      </w:r>
    </w:p>
    <w:p>
      <w:pPr>
        <w:pStyle w:val="54"/>
        <w:numPr>
          <w:ilvl w:val="0"/>
          <w:numId w:val="5"/>
        </w:numPr>
        <w:pBdr>
          <w:top w:val="single" w:color="auto" w:sz="4" w:space="1"/>
          <w:left w:val="single" w:color="auto" w:sz="4" w:space="4"/>
          <w:bottom w:val="single" w:color="auto" w:sz="4" w:space="1"/>
          <w:right w:val="single" w:color="auto" w:sz="4" w:space="4"/>
        </w:pBdr>
        <w:adjustRightInd w:val="0"/>
        <w:snapToGrid w:val="0"/>
        <w:spacing w:beforeLines="0" w:after="0" w:afterLines="0" w:line="240" w:lineRule="auto"/>
        <w:rPr>
          <w:lang w:val="en-US"/>
        </w:rPr>
      </w:pPr>
      <w:r>
        <w:rPr>
          <w:lang w:val="en-US"/>
        </w:rPr>
        <w:t>Event triggered L1 measurement should be designed for the following LTM purposes:</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ind w:left="1259" w:firstLine="0"/>
        <w:rPr>
          <w:lang w:val="en-US"/>
        </w:rPr>
      </w:pPr>
      <w:r>
        <w:rPr>
          <w:lang w:val="en-US"/>
        </w:rPr>
        <w:tab/>
      </w:r>
      <w:r>
        <w:rPr>
          <w:lang w:val="en-US"/>
        </w:rPr>
        <w:t>- Select the candidate beam/cell to trigger early synchronization.</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 xml:space="preserve"> </w:t>
      </w:r>
      <w:r>
        <w:rPr>
          <w:lang w:val="en-US"/>
        </w:rPr>
        <w:tab/>
      </w:r>
      <w:r>
        <w:rPr>
          <w:lang w:val="en-US"/>
        </w:rPr>
        <w:t>- Select the target beam/cell and trigger LTM cell switch procedure.</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 xml:space="preserve">2. </w:t>
      </w:r>
      <w:r>
        <w:rPr>
          <w:lang w:val="en-US"/>
        </w:rPr>
        <w:tab/>
      </w:r>
      <w:r>
        <w:t>For event triggered L1 measurement, use of beam level measurement result for event evaluation is baseline. FFS for the cell level measurement.</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3.</w:t>
      </w:r>
      <w:r>
        <w:rPr>
          <w:lang w:val="en-US"/>
        </w:rPr>
        <w:tab/>
      </w:r>
      <w:r>
        <w:rPr>
          <w:lang w:val="en-US"/>
        </w:rPr>
        <w:t>Support the following LTM events based on beam specific quality of serving cell and candidate cells as the L1 LTM measurement events.</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LTM2: Beam of serving cell becomes worse than absolute threshold;</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LTM3: Beam of candidate cell becomes amount of offset better than beam of serving cell;</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LTM4: Beam of candidate cell becomes better than absolute threshold;</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LTM5: Beam of serving cell becomes worse than absolute threshold1 AND Beam of candidate cell becomes better than another absolute threshold2.</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FFS on what beam(s) of the serving cell and neighboring cell is used for event evaluation. FFS on the need of Event LTM1.</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4.</w:t>
      </w:r>
      <w:r>
        <w:rPr>
          <w:lang w:val="en-US"/>
        </w:rPr>
        <w:tab/>
      </w:r>
      <w:r>
        <w:t xml:space="preserve">Support the beam config of both SSB and CSI-RS in L1 measurement resource configuration in LTM config. </w:t>
      </w:r>
      <w:r>
        <w:rPr>
          <w:highlight w:val="yellow"/>
        </w:rPr>
        <w:t>Working assumption: Same RS type should be used for both serving and neighbouring cell for event LTM3 and event LTM5.</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5.</w:t>
      </w:r>
      <w:r>
        <w:rPr>
          <w:lang w:val="en-US"/>
        </w:rPr>
        <w:tab/>
      </w:r>
      <w:r>
        <w:t>RAN2 assumes filtering of the L1 measure results is needed. It’s up to RAN1 whether the specified L1 filtering is needed or ok to leave it to UE implementation.</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6.</w:t>
      </w:r>
      <w:r>
        <w:rPr>
          <w:lang w:val="en-US"/>
        </w:rPr>
        <w:tab/>
      </w:r>
      <w:r>
        <w:rPr>
          <w:lang w:val="en-US"/>
        </w:rPr>
        <w:t xml:space="preserve">For LTM event evaluation, TTT, </w:t>
      </w:r>
      <w:r>
        <w:t xml:space="preserve">hysteresis for entering/leaving, and/or beam specific (FFS for cell specific) offset can be applied. </w:t>
      </w:r>
      <w:r>
        <w:rPr>
          <w:highlight w:val="yellow"/>
        </w:rPr>
        <w:t>FFS on the need of measurement reporting once leaving condition is met.</w:t>
      </w:r>
    </w:p>
    <w:p>
      <w:pPr>
        <w:spacing w:before="120" w:after="120"/>
      </w:pPr>
      <w:r>
        <w:rPr>
          <w:rFonts w:eastAsia="宋体"/>
        </w:rPr>
        <w:t xml:space="preserve">In this contribution, we discussed some </w:t>
      </w:r>
      <w:r>
        <w:rPr>
          <w:rFonts w:hint="eastAsia" w:eastAsia="宋体"/>
        </w:rPr>
        <w:t>open</w:t>
      </w:r>
      <w:r>
        <w:rPr>
          <w:rFonts w:eastAsia="宋体"/>
        </w:rPr>
        <w:t xml:space="preserve"> </w:t>
      </w:r>
      <w:r>
        <w:rPr>
          <w:rFonts w:hint="eastAsia" w:eastAsia="宋体"/>
        </w:rPr>
        <w:t>issues</w:t>
      </w:r>
      <w:r>
        <w:rPr>
          <w:rFonts w:eastAsia="宋体"/>
        </w:rPr>
        <w:t xml:space="preserve"> for event-triggered measurement reporting. </w:t>
      </w:r>
    </w:p>
    <w:p>
      <w:pPr>
        <w:pStyle w:val="2"/>
        <w:spacing w:before="120" w:after="120"/>
      </w:pPr>
      <w:r>
        <w:rPr>
          <w:rFonts w:hint="eastAsia"/>
        </w:rPr>
        <w:t>Discussion</w:t>
      </w:r>
      <w:r>
        <w:t>s</w:t>
      </w:r>
      <w:r>
        <w:rPr>
          <w:rFonts w:hint="eastAsia"/>
        </w:rPr>
        <w:t xml:space="preserve"> </w:t>
      </w:r>
    </w:p>
    <w:p>
      <w:pPr>
        <w:pStyle w:val="3"/>
      </w:pPr>
      <w:r>
        <w:t>Information in the measurement report</w:t>
      </w:r>
    </w:p>
    <w:p>
      <w:pPr>
        <w:spacing w:before="120" w:after="120"/>
        <w:rPr>
          <w:rFonts w:eastAsia="宋体"/>
        </w:rPr>
      </w:pPr>
      <w:r>
        <w:t>In Re</w:t>
      </w:r>
      <w:r>
        <w:rPr>
          <w:rFonts w:hint="eastAsia" w:eastAsia="宋体"/>
        </w:rPr>
        <w:t xml:space="preserve">l-18 LTM L1 measurement report, the L1-RSRP and the corresponding candidate beam and cell information are included. The candidate beam and cell information </w:t>
      </w:r>
      <w:r>
        <w:rPr>
          <w:rFonts w:eastAsia="宋体"/>
        </w:rPr>
        <w:t>are</w:t>
      </w:r>
      <w:r>
        <w:rPr>
          <w:rFonts w:hint="eastAsia" w:eastAsia="宋体"/>
        </w:rPr>
        <w:t xml:space="preserve"> implicitly indicated by the entry index (i.e. SSBRI) in the </w:t>
      </w:r>
      <w:r>
        <w:rPr>
          <w:rFonts w:hint="eastAsia" w:eastAsia="宋体"/>
          <w:i/>
        </w:rPr>
        <w:t>LTM-CSI-ResourceConfig</w:t>
      </w:r>
      <w:r>
        <w:rPr>
          <w:rFonts w:hint="eastAsia" w:eastAsia="宋体"/>
        </w:rPr>
        <w:t xml:space="preserve">, which indicates the association between the SSB index and the </w:t>
      </w:r>
      <w:r>
        <w:rPr>
          <w:rFonts w:hint="eastAsia" w:eastAsia="宋体"/>
          <w:i/>
        </w:rPr>
        <w:t>LTM-CandidateId</w:t>
      </w:r>
      <w:r>
        <w:rPr>
          <w:rFonts w:hint="eastAsia" w:eastAsia="宋体"/>
        </w:rPr>
        <w:t xml:space="preserve">. For event-triggered measurement report, the similar information should also be included considering the L1 measurement results for multiple beams and cells can be included in one measurement report. If we agree to reuse the LTM CSI resource configuration as the measurement resource for event-triggered reporting, as discussed in our companion contribution [2], the entry index (i.e. SSBRI) in the </w:t>
      </w:r>
      <w:r>
        <w:rPr>
          <w:rFonts w:hint="eastAsia" w:eastAsia="宋体"/>
          <w:i/>
        </w:rPr>
        <w:t>LTM-CSI-ResourceConfig</w:t>
      </w:r>
      <w:r>
        <w:rPr>
          <w:rFonts w:hint="eastAsia" w:eastAsia="宋体"/>
        </w:rPr>
        <w:t xml:space="preserve"> can also be reused to indicate the candidate beam and cell information in the measurement report. An alternative way is to explicitly include the beam ID and candidate cell ID in the report. The details can be further discussed once the signaling of measurement configuration is decided.</w:t>
      </w:r>
    </w:p>
    <w:p>
      <w:pPr>
        <w:pStyle w:val="28"/>
        <w:numPr>
          <w:ilvl w:val="0"/>
          <w:numId w:val="6"/>
        </w:numPr>
        <w:spacing w:before="120" w:after="120"/>
        <w:ind w:left="1273" w:hanging="1273"/>
        <w:rPr>
          <w:lang w:val="en-US" w:eastAsia="zh-CN"/>
        </w:rPr>
      </w:pPr>
      <w:bookmarkStart w:id="0" w:name="_Toc173924187"/>
      <w:r>
        <w:rPr>
          <w:lang w:val="en-US" w:eastAsia="zh-CN"/>
        </w:rPr>
        <w:t>In Re</w:t>
      </w:r>
      <w:r>
        <w:rPr>
          <w:rFonts w:hint="eastAsia"/>
          <w:lang w:val="en-US" w:eastAsia="zh-CN"/>
        </w:rPr>
        <w:t xml:space="preserve">l-18 LTM L1 measurement report, the L1-RSRP and the corresponding candidate beam and cell information are included, wherein the candidate beam and cell information </w:t>
      </w:r>
      <w:r>
        <w:rPr>
          <w:lang w:val="en-US" w:eastAsia="zh-CN"/>
        </w:rPr>
        <w:t>are</w:t>
      </w:r>
      <w:r>
        <w:rPr>
          <w:rFonts w:hint="eastAsia"/>
          <w:lang w:val="en-US" w:eastAsia="zh-CN"/>
        </w:rPr>
        <w:t xml:space="preserve"> implicitly indicated by the entry index (i.e. SSBRI) in the LTM-CSI-ResourceConfig.</w:t>
      </w:r>
      <w:bookmarkEnd w:id="0"/>
    </w:p>
    <w:p>
      <w:pPr>
        <w:spacing w:before="120" w:after="120"/>
        <w:rPr>
          <w:rFonts w:eastAsia="宋体"/>
        </w:rPr>
      </w:pPr>
      <w:r>
        <w:rPr>
          <w:rFonts w:hint="eastAsia" w:eastAsia="宋体"/>
        </w:rPr>
        <w:t>Besides, the information of the triggered event is also required for event-triggered measurement report. With this information, the NW can know the measurement report is triggered for which event and the related configuration for the event, e.g. threshold value. Regarding how to indicate the information of the triggered event, it</w:t>
      </w:r>
      <w:r>
        <w:rPr>
          <w:rFonts w:eastAsia="宋体"/>
        </w:rPr>
        <w:t>’</w:t>
      </w:r>
      <w:r>
        <w:rPr>
          <w:rFonts w:hint="eastAsia" w:eastAsia="宋体"/>
        </w:rPr>
        <w:t>s also related the signaling design of the measurement report configuration. If a L1 measurement ID is introduced to link the measurement resource with the measurement report configuration, it</w:t>
      </w:r>
      <w:r>
        <w:rPr>
          <w:rFonts w:eastAsia="宋体"/>
        </w:rPr>
        <w:t>’</w:t>
      </w:r>
      <w:r>
        <w:rPr>
          <w:rFonts w:hint="eastAsia" w:eastAsia="宋体"/>
        </w:rPr>
        <w:t xml:space="preserve">s simply to include the L1 measurement ID in the report. Alternatively, if we reuse </w:t>
      </w:r>
      <w:r>
        <w:rPr>
          <w:rFonts w:hint="eastAsia" w:eastAsia="宋体"/>
          <w:i/>
        </w:rPr>
        <w:t>LTM-CSI-ReportConfig</w:t>
      </w:r>
      <w:r>
        <w:rPr>
          <w:rFonts w:hint="eastAsia" w:eastAsia="宋体"/>
        </w:rPr>
        <w:t xml:space="preserve"> for the event-triggered measurement report, where the associated </w:t>
      </w:r>
      <w:r>
        <w:rPr>
          <w:rFonts w:hint="eastAsia" w:eastAsia="宋体"/>
          <w:i/>
        </w:rPr>
        <w:t>LTM-CSI-ResourceConfigId</w:t>
      </w:r>
      <w:r>
        <w:rPr>
          <w:rFonts w:hint="eastAsia" w:eastAsia="宋体"/>
        </w:rPr>
        <w:t xml:space="preserve"> is included, the report configuration ID can implicitly indicate the triggered event.</w:t>
      </w:r>
    </w:p>
    <w:p>
      <w:pPr>
        <w:pStyle w:val="29"/>
        <w:numPr>
          <w:ilvl w:val="0"/>
          <w:numId w:val="7"/>
        </w:numPr>
        <w:spacing w:before="120" w:after="120"/>
        <w:ind w:left="1132" w:hanging="1132" w:hangingChars="564"/>
      </w:pPr>
      <w:bookmarkStart w:id="1" w:name="_Toc173924195"/>
      <w:bookmarkStart w:id="2" w:name="_Toc166096055"/>
      <w:bookmarkStart w:id="3" w:name="_Toc166003420"/>
      <w:bookmarkStart w:id="4" w:name="_Toc166095969"/>
      <w:bookmarkStart w:id="5" w:name="_Toc166096038"/>
      <w:r>
        <w:t xml:space="preserve">The content of the </w:t>
      </w:r>
      <w:r>
        <w:rPr>
          <w:rFonts w:hint="eastAsia"/>
          <w:lang w:val="en-US"/>
        </w:rPr>
        <w:t>event-triggered measurement report</w:t>
      </w:r>
      <w:r>
        <w:t xml:space="preserve"> </w:t>
      </w:r>
      <w:r>
        <w:rPr>
          <w:rFonts w:hint="eastAsia"/>
          <w:lang w:val="en-US"/>
        </w:rPr>
        <w:t xml:space="preserve">at least </w:t>
      </w:r>
      <w:r>
        <w:t>include</w:t>
      </w:r>
      <w:r>
        <w:rPr>
          <w:rFonts w:hint="eastAsia"/>
          <w:lang w:val="en-US"/>
        </w:rPr>
        <w:t>s</w:t>
      </w:r>
      <w:r>
        <w:t xml:space="preserve"> the following information:</w:t>
      </w:r>
      <w:bookmarkEnd w:id="1"/>
      <w:bookmarkEnd w:id="2"/>
      <w:bookmarkEnd w:id="3"/>
      <w:bookmarkEnd w:id="4"/>
      <w:bookmarkEnd w:id="5"/>
    </w:p>
    <w:p>
      <w:pPr>
        <w:pStyle w:val="32"/>
        <w:rPr>
          <w:i w:val="0"/>
        </w:rPr>
      </w:pPr>
      <w:bookmarkStart w:id="6" w:name="_Toc173924196"/>
      <w:bookmarkStart w:id="7" w:name="_Toc166096040"/>
      <w:bookmarkStart w:id="8" w:name="_Toc166096057"/>
      <w:bookmarkStart w:id="9" w:name="_Toc166095971"/>
      <w:bookmarkStart w:id="10" w:name="_Toc166003422"/>
      <w:r>
        <w:rPr>
          <w:i w:val="0"/>
        </w:rPr>
        <w:t>Beam-level measurement results</w:t>
      </w:r>
      <w:r>
        <w:rPr>
          <w:rFonts w:hint="eastAsia"/>
          <w:i w:val="0"/>
        </w:rPr>
        <w:t>, e.g. L1-RSRP;</w:t>
      </w:r>
      <w:bookmarkEnd w:id="6"/>
    </w:p>
    <w:p>
      <w:pPr>
        <w:pStyle w:val="32"/>
        <w:rPr>
          <w:i w:val="0"/>
        </w:rPr>
      </w:pPr>
      <w:bookmarkStart w:id="11" w:name="_Toc173924197"/>
      <w:r>
        <w:rPr>
          <w:rFonts w:hint="eastAsia"/>
          <w:i w:val="0"/>
        </w:rPr>
        <w:t>The corresponding beam</w:t>
      </w:r>
      <w:r>
        <w:rPr>
          <w:i w:val="0"/>
        </w:rPr>
        <w:t xml:space="preserve"> </w:t>
      </w:r>
      <w:r>
        <w:rPr>
          <w:rFonts w:hint="eastAsia"/>
          <w:i w:val="0"/>
        </w:rPr>
        <w:t xml:space="preserve">information and cell information, e.g. implicitly indicated by entry index (i.e. SSBRI) in the </w:t>
      </w:r>
      <w:r>
        <w:rPr>
          <w:rFonts w:hint="eastAsia"/>
        </w:rPr>
        <w:t>LTM-CSI-ResourceConfig</w:t>
      </w:r>
      <w:r>
        <w:rPr>
          <w:rFonts w:hint="eastAsia"/>
          <w:i w:val="0"/>
        </w:rPr>
        <w:t>, or explicitly indicated by beam ID and cell ID</w:t>
      </w:r>
      <w:r>
        <w:rPr>
          <w:i w:val="0"/>
        </w:rPr>
        <w:t>;</w:t>
      </w:r>
      <w:bookmarkEnd w:id="7"/>
      <w:bookmarkEnd w:id="8"/>
      <w:bookmarkEnd w:id="9"/>
      <w:bookmarkEnd w:id="10"/>
      <w:bookmarkEnd w:id="11"/>
    </w:p>
    <w:p>
      <w:pPr>
        <w:pStyle w:val="32"/>
        <w:rPr>
          <w:i w:val="0"/>
        </w:rPr>
      </w:pPr>
      <w:bookmarkStart w:id="12" w:name="_Toc166095970"/>
      <w:bookmarkStart w:id="13" w:name="_Toc166096056"/>
      <w:bookmarkStart w:id="14" w:name="_Toc166003421"/>
      <w:bookmarkStart w:id="15" w:name="_Toc166096039"/>
      <w:bookmarkStart w:id="16" w:name="_Toc173924198"/>
      <w:r>
        <w:rPr>
          <w:i w:val="0"/>
        </w:rPr>
        <w:t>Information for the triggered event</w:t>
      </w:r>
      <w:r>
        <w:rPr>
          <w:rFonts w:hint="eastAsia"/>
          <w:i w:val="0"/>
        </w:rPr>
        <w:t>, e.g. L1 measurement ID, or report configuration ID</w:t>
      </w:r>
      <w:bookmarkEnd w:id="12"/>
      <w:bookmarkEnd w:id="13"/>
      <w:bookmarkEnd w:id="14"/>
      <w:bookmarkEnd w:id="15"/>
      <w:r>
        <w:rPr>
          <w:rFonts w:hint="eastAsia"/>
          <w:i w:val="0"/>
        </w:rPr>
        <w:t>.</w:t>
      </w:r>
      <w:bookmarkEnd w:id="16"/>
    </w:p>
    <w:p>
      <w:pPr>
        <w:spacing w:before="120" w:after="120"/>
        <w:rPr>
          <w:rFonts w:eastAsia="宋体"/>
        </w:rPr>
      </w:pPr>
      <w:r>
        <w:rPr>
          <w:rFonts w:hint="eastAsia" w:eastAsia="宋体"/>
        </w:rPr>
        <w:t>In addition to the beam-level measurement result, the cell-level measurement result is also helpful for the NW to select the target candidate cell more robustly, e.g. comprehensively consider the best beam quality and the average quality of beams in the cell. Besides, the UE can perform the L1 measurement and L3 measurement simultaneously, so it</w:t>
      </w:r>
      <w:r>
        <w:rPr>
          <w:rFonts w:eastAsia="宋体"/>
        </w:rPr>
        <w:t>’</w:t>
      </w:r>
      <w:r>
        <w:rPr>
          <w:rFonts w:hint="eastAsia" w:eastAsia="宋体"/>
        </w:rPr>
        <w:t xml:space="preserve">s possible to obtain the cell-level measurement results (e.g. from the L3 measurement) when triggering the event-triggered measurement report. </w:t>
      </w:r>
      <w:r>
        <w:rPr>
          <w:rFonts w:hint="eastAsia" w:eastAsia="宋体"/>
          <w:lang w:val="en-US" w:eastAsia="zh-CN"/>
        </w:rPr>
        <w:t>However, s</w:t>
      </w:r>
      <w:r>
        <w:rPr>
          <w:rFonts w:hint="eastAsia" w:eastAsia="宋体"/>
        </w:rPr>
        <w:t>ome companies may concern that the derivation of cell-level measurement results may complicate the event-triggered L1 measurement procedure. And we are still discussing whether to consider cell-level event evaluation as well. If it</w:t>
      </w:r>
      <w:r>
        <w:rPr>
          <w:rFonts w:eastAsia="宋体"/>
        </w:rPr>
        <w:t>’</w:t>
      </w:r>
      <w:r>
        <w:rPr>
          <w:rFonts w:hint="eastAsia" w:eastAsia="宋体"/>
        </w:rPr>
        <w:t xml:space="preserve">s agreed to support cell-level evaluation based on the consolidation of multiple beams, there is no issue to include the cell-level measurement results. Thus, we </w:t>
      </w:r>
      <w:r>
        <w:rPr>
          <w:rFonts w:hint="eastAsia" w:eastAsia="宋体"/>
          <w:lang w:val="en-US" w:eastAsia="zh-CN"/>
        </w:rPr>
        <w:t>think RAN2 can discuss whether</w:t>
      </w:r>
      <w:r>
        <w:rPr>
          <w:rFonts w:hint="eastAsia" w:eastAsia="宋体"/>
        </w:rPr>
        <w:t xml:space="preserve"> the cell-level measurement results can be optionally included in the event-triggered measurement report. </w:t>
      </w:r>
      <w:r>
        <w:rPr>
          <w:rFonts w:hint="eastAsia" w:eastAsia="宋体"/>
          <w:lang w:val="en-US" w:eastAsia="zh-CN"/>
        </w:rPr>
        <w:t>For example, it</w:t>
      </w:r>
      <w:r>
        <w:rPr>
          <w:rFonts w:hint="eastAsia" w:eastAsia="宋体"/>
        </w:rPr>
        <w:t xml:space="preserve"> can be up to the NW to configure whether to include this, e.g. if the NW indicates the cell-level event evaluation is allowed.  </w:t>
      </w:r>
    </w:p>
    <w:p>
      <w:pPr>
        <w:pStyle w:val="29"/>
        <w:numPr>
          <w:ilvl w:val="0"/>
          <w:numId w:val="7"/>
        </w:numPr>
        <w:spacing w:before="120" w:after="120"/>
        <w:ind w:left="1132" w:hanging="1132" w:hangingChars="564"/>
        <w:rPr>
          <w:lang w:val="en-US"/>
        </w:rPr>
      </w:pPr>
      <w:bookmarkStart w:id="17" w:name="_Toc173924199"/>
      <w:r>
        <w:rPr>
          <w:rFonts w:hint="eastAsia"/>
          <w:lang w:val="en-US" w:eastAsia="zh-CN"/>
        </w:rPr>
        <w:t>RAN2 to discuss whether</w:t>
      </w:r>
      <w:r>
        <w:rPr>
          <w:rFonts w:hint="eastAsia"/>
          <w:lang w:val="en-US"/>
        </w:rPr>
        <w:t xml:space="preserve"> cell-level measurement results can be optionally included in the event-triggered measurement report, e.g. according to the NW indication.</w:t>
      </w:r>
      <w:bookmarkEnd w:id="17"/>
    </w:p>
    <w:p>
      <w:pPr>
        <w:spacing w:before="120" w:after="120"/>
      </w:pPr>
      <w:r>
        <w:rPr>
          <w:rFonts w:hint="eastAsia"/>
        </w:rPr>
        <w:t xml:space="preserve">Another issue is whether to include the L1 measurement result of the serving cell in the event-triggered measurement report. In L3 measurement reporting, the measurement result of serving cell configured with </w:t>
      </w:r>
      <w:r>
        <w:rPr>
          <w:rFonts w:hint="eastAsia"/>
          <w:i/>
        </w:rPr>
        <w:t>servingCellMO</w:t>
      </w:r>
      <w:r>
        <w:rPr>
          <w:rFonts w:hint="eastAsia"/>
        </w:rPr>
        <w:t xml:space="preserve"> shall always be reported to the NW. And the </w:t>
      </w:r>
      <w:r>
        <w:rPr>
          <w:rFonts w:hint="eastAsia"/>
          <w:i/>
        </w:rPr>
        <w:t>servingCellMO</w:t>
      </w:r>
      <w:r>
        <w:rPr>
          <w:rFonts w:hint="eastAsia"/>
        </w:rPr>
        <w:t xml:space="preserve"> is mandatory present for the SpCell. It means that the L3 measurement reporting shall always include the measurement results for the SpCell. the In Rel-18 LTM L1 measurement reporting, </w:t>
      </w:r>
      <w:r>
        <w:rPr>
          <w:rFonts w:hint="eastAsia" w:eastAsia="宋体"/>
          <w:lang w:val="en-US" w:eastAsia="zh-CN"/>
        </w:rPr>
        <w:t xml:space="preserve">if the UE supports to always include SpCell results in L1 measurement report (i.e. based on the UE capability </w:t>
      </w:r>
      <w:r>
        <w:rPr>
          <w:rFonts w:hint="eastAsia" w:eastAsia="宋体"/>
          <w:i/>
          <w:iCs/>
        </w:rPr>
        <w:t>currentSpCellInclL1-Report-r18</w:t>
      </w:r>
      <w:r>
        <w:rPr>
          <w:rFonts w:hint="eastAsia" w:eastAsia="宋体"/>
          <w:lang w:val="en-US" w:eastAsia="zh-CN"/>
        </w:rPr>
        <w:t xml:space="preserve">), </w:t>
      </w:r>
      <w:r>
        <w:rPr>
          <w:rFonts w:hint="eastAsia"/>
        </w:rPr>
        <w:t xml:space="preserve">the NW can explicitly indicate whether to include the L1 measurement result of the SpCell in the reporting, i.e. via the </w:t>
      </w:r>
      <w:r>
        <w:rPr>
          <w:rFonts w:hint="eastAsia"/>
          <w:i/>
        </w:rPr>
        <w:t>spCellInclusion</w:t>
      </w:r>
      <w:r>
        <w:rPr>
          <w:rFonts w:hint="eastAsia"/>
        </w:rPr>
        <w:t xml:space="preserve"> in the </w:t>
      </w:r>
      <w:r>
        <w:rPr>
          <w:rFonts w:hint="eastAsia"/>
          <w:i/>
        </w:rPr>
        <w:t>LTM-CSI-ReportConfig</w:t>
      </w:r>
      <w:r>
        <w:rPr>
          <w:rFonts w:hint="eastAsia"/>
        </w:rPr>
        <w:t xml:space="preserve">. </w:t>
      </w:r>
    </w:p>
    <w:p>
      <w:pPr>
        <w:pStyle w:val="28"/>
        <w:numPr>
          <w:ilvl w:val="0"/>
          <w:numId w:val="6"/>
        </w:numPr>
        <w:spacing w:before="120" w:after="120"/>
        <w:ind w:left="1273" w:hanging="1273"/>
        <w:rPr>
          <w:lang w:val="en-US" w:eastAsia="zh-CN"/>
        </w:rPr>
      </w:pPr>
      <w:bookmarkStart w:id="18" w:name="_Toc173924188"/>
      <w:r>
        <w:rPr>
          <w:rFonts w:hint="eastAsia"/>
          <w:lang w:val="en-US" w:eastAsia="zh-CN"/>
        </w:rPr>
        <w:t>In Rel-18 LTM L1 measurement reporting, based on the UE capability (i.e. currentSpCellInclL1-Report-r18), the NW can explicitly indicate whether to include the L1 measurement result of the SpCell in the report. But for L3 measurement reporting, the measurement result of the SpCell is mandatory included.</w:t>
      </w:r>
      <w:bookmarkEnd w:id="18"/>
    </w:p>
    <w:p>
      <w:pPr>
        <w:spacing w:before="120" w:after="120"/>
        <w:rPr>
          <w:rFonts w:hint="default" w:eastAsia="宋体"/>
          <w:lang w:val="en-US" w:eastAsia="zh-CN"/>
        </w:rPr>
      </w:pPr>
      <w:r>
        <w:rPr>
          <w:rFonts w:hint="eastAsia"/>
        </w:rPr>
        <w:t>In our view, it</w:t>
      </w:r>
      <w:r>
        <w:t>’</w:t>
      </w:r>
      <w:r>
        <w:rPr>
          <w:rFonts w:hint="eastAsia"/>
        </w:rPr>
        <w:t xml:space="preserve">s beneficial to include the measurement results of the SpCell (e.g. the measurement result of the best beam or the beam corresponding to the indicated TCI-state) in the event-triggered reporting, e.g. to decide </w:t>
      </w:r>
      <w:r>
        <w:t xml:space="preserve">whether </w:t>
      </w:r>
      <w:r>
        <w:rPr>
          <w:rFonts w:hint="eastAsia"/>
        </w:rPr>
        <w:t>the triggering of LTM</w:t>
      </w:r>
      <w:r>
        <w:t xml:space="preserve"> is required</w:t>
      </w:r>
      <w:r>
        <w:rPr>
          <w:rFonts w:hint="eastAsia"/>
        </w:rPr>
        <w:t>. RAN2 can further discuss whether</w:t>
      </w:r>
      <w:r>
        <w:t xml:space="preserve"> </w:t>
      </w:r>
      <w:r>
        <w:rPr>
          <w:rFonts w:hint="eastAsia"/>
        </w:rPr>
        <w:t>to mandatory or optionally (e.g. based on the explicit indication by the NW) include the measurement result of the SpCell.</w:t>
      </w:r>
      <w:r>
        <w:rPr>
          <w:rFonts w:hint="eastAsia" w:eastAsia="宋体"/>
          <w:lang w:val="en-US" w:eastAsia="zh-CN"/>
        </w:rPr>
        <w:t xml:space="preserve"> And whether to reuse Rel-18 capability can be discussed later.</w:t>
      </w:r>
    </w:p>
    <w:p>
      <w:pPr>
        <w:pStyle w:val="29"/>
        <w:numPr>
          <w:ilvl w:val="0"/>
          <w:numId w:val="7"/>
        </w:numPr>
        <w:spacing w:before="120" w:after="120"/>
        <w:ind w:left="1132" w:hanging="1132" w:hangingChars="564"/>
        <w:rPr>
          <w:lang w:val="en-US"/>
        </w:rPr>
      </w:pPr>
      <w:bookmarkStart w:id="19" w:name="_Toc173924200"/>
      <w:r>
        <w:rPr>
          <w:rFonts w:hint="eastAsia"/>
          <w:lang w:val="en-US" w:eastAsia="zh-CN"/>
        </w:rPr>
        <w:t>If supported by the UE, t</w:t>
      </w:r>
      <w:r>
        <w:rPr>
          <w:lang w:val="en-US"/>
        </w:rPr>
        <w:t>he measurement</w:t>
      </w:r>
      <w:r>
        <w:rPr>
          <w:rFonts w:hint="eastAsia"/>
          <w:lang w:val="en-US"/>
        </w:rPr>
        <w:t xml:space="preserve"> result of the SpCell </w:t>
      </w:r>
      <w:r>
        <w:rPr>
          <w:lang w:val="en-US"/>
        </w:rPr>
        <w:t xml:space="preserve">can be included </w:t>
      </w:r>
      <w:r>
        <w:rPr>
          <w:rFonts w:hint="eastAsia"/>
          <w:lang w:val="en-US"/>
        </w:rPr>
        <w:t>in the event-triggered measurement report</w:t>
      </w:r>
      <w:r>
        <w:rPr>
          <w:lang w:val="en-US"/>
        </w:rPr>
        <w:t>. RAN2 to discuss how to include it,</w:t>
      </w:r>
      <w:r>
        <w:rPr>
          <w:rFonts w:hint="eastAsia"/>
          <w:lang w:val="en-US"/>
        </w:rPr>
        <w:t xml:space="preserve"> e.g. mandatory include it, or optionally include it based on the explicit</w:t>
      </w:r>
      <w:r>
        <w:rPr>
          <w:lang w:val="en-US"/>
        </w:rPr>
        <w:t xml:space="preserve"> </w:t>
      </w:r>
      <w:r>
        <w:rPr>
          <w:rFonts w:hint="eastAsia"/>
          <w:lang w:val="en-US"/>
        </w:rPr>
        <w:t>indication by the NW.</w:t>
      </w:r>
      <w:bookmarkEnd w:id="19"/>
      <w:r>
        <w:rPr>
          <w:rFonts w:hint="eastAsia"/>
          <w:lang w:val="en-US"/>
        </w:rPr>
        <w:t xml:space="preserve"> Whether </w:t>
      </w:r>
      <w:r>
        <w:rPr>
          <w:rFonts w:hint="eastAsia"/>
          <w:lang w:val="en-US" w:eastAsia="zh-CN"/>
        </w:rPr>
        <w:t>to reuse</w:t>
      </w:r>
      <w:r>
        <w:rPr>
          <w:rFonts w:hint="eastAsia"/>
          <w:lang w:val="en-US"/>
        </w:rPr>
        <w:t xml:space="preserve"> Rel-18 capability can be discussed later. </w:t>
      </w:r>
    </w:p>
    <w:p>
      <w:pPr>
        <w:pStyle w:val="3"/>
      </w:pPr>
      <w:r>
        <w:t>Measurement report configuration</w:t>
      </w:r>
    </w:p>
    <w:p>
      <w:pPr>
        <w:spacing w:before="120" w:after="120"/>
        <w:rPr>
          <w:rFonts w:eastAsia="宋体"/>
        </w:rPr>
      </w:pPr>
      <w:r>
        <w:rPr>
          <w:rFonts w:hint="eastAsia" w:eastAsia="宋体"/>
        </w:rPr>
        <w:t>For LTM event evaluation, it</w:t>
      </w:r>
      <w:r>
        <w:rPr>
          <w:rFonts w:eastAsia="宋体"/>
        </w:rPr>
        <w:t>’</w:t>
      </w:r>
      <w:r>
        <w:rPr>
          <w:rFonts w:hint="eastAsia" w:eastAsia="宋体"/>
        </w:rPr>
        <w:t>s agreed that TTT, hysteresis for entering/leaving, and/or beam specific offset can be applied. Thus, the NW can provide the threshold/offset of the LTM event, TTT, and hysteresis parameters in the measurement report configuration</w:t>
      </w:r>
      <w:r>
        <w:rPr>
          <w:rFonts w:eastAsia="宋体"/>
        </w:rPr>
        <w:t xml:space="preserve"> for LTM event</w:t>
      </w:r>
      <w:r>
        <w:rPr>
          <w:rFonts w:hint="eastAsia" w:eastAsia="宋体"/>
        </w:rPr>
        <w:t xml:space="preserve">. In the legacy L3 event report configuration, there are several additional parameters related to the event/report configuration, e.g. </w:t>
      </w:r>
      <w:r>
        <w:rPr>
          <w:rFonts w:hint="eastAsia" w:eastAsia="宋体"/>
          <w:i/>
        </w:rPr>
        <w:t>reportOnLeave</w:t>
      </w:r>
      <w:r>
        <w:rPr>
          <w:rFonts w:hint="eastAsia" w:eastAsia="宋体"/>
        </w:rPr>
        <w:t xml:space="preserve">, </w:t>
      </w:r>
      <w:r>
        <w:rPr>
          <w:rFonts w:hint="eastAsia" w:eastAsia="宋体"/>
          <w:i/>
        </w:rPr>
        <w:t>useAllowedCellList</w:t>
      </w:r>
      <w:r>
        <w:rPr>
          <w:rFonts w:hint="eastAsia" w:eastAsia="宋体"/>
        </w:rPr>
        <w:t xml:space="preserve">, </w:t>
      </w:r>
      <w:r>
        <w:rPr>
          <w:rFonts w:hint="eastAsia" w:eastAsia="宋体"/>
          <w:i/>
        </w:rPr>
        <w:t>rsType</w:t>
      </w:r>
      <w:r>
        <w:rPr>
          <w:rFonts w:hint="eastAsia" w:eastAsia="宋体"/>
        </w:rPr>
        <w:t xml:space="preserve">, </w:t>
      </w:r>
      <w:r>
        <w:rPr>
          <w:rFonts w:hint="eastAsia" w:eastAsia="宋体"/>
          <w:i/>
        </w:rPr>
        <w:t>reportInterval</w:t>
      </w:r>
      <w:r>
        <w:rPr>
          <w:rFonts w:hint="eastAsia" w:eastAsia="宋体"/>
        </w:rPr>
        <w:t xml:space="preserve">, </w:t>
      </w:r>
      <w:r>
        <w:rPr>
          <w:rFonts w:hint="eastAsia" w:eastAsia="宋体"/>
          <w:i/>
        </w:rPr>
        <w:t>reportAmount</w:t>
      </w:r>
      <w:r>
        <w:rPr>
          <w:rFonts w:hint="eastAsia" w:eastAsia="宋体"/>
        </w:rPr>
        <w:t xml:space="preserve">, </w:t>
      </w:r>
      <w:r>
        <w:rPr>
          <w:rFonts w:hint="eastAsia" w:eastAsia="宋体"/>
          <w:i/>
        </w:rPr>
        <w:t>reportQuantityCell</w:t>
      </w:r>
      <w:r>
        <w:rPr>
          <w:rFonts w:hint="eastAsia" w:eastAsia="宋体"/>
        </w:rPr>
        <w:t xml:space="preserve">, </w:t>
      </w:r>
      <w:r>
        <w:rPr>
          <w:rFonts w:hint="eastAsia" w:eastAsia="宋体"/>
          <w:i/>
        </w:rPr>
        <w:t>maxReportCells</w:t>
      </w:r>
      <w:r>
        <w:rPr>
          <w:rFonts w:hint="eastAsia" w:eastAsia="宋体"/>
        </w:rPr>
        <w:t xml:space="preserve">, etc. We </w:t>
      </w:r>
      <w:r>
        <w:rPr>
          <w:rFonts w:eastAsia="宋体"/>
        </w:rPr>
        <w:t>shall</w:t>
      </w:r>
      <w:r>
        <w:rPr>
          <w:rFonts w:hint="eastAsia" w:eastAsia="宋体"/>
        </w:rPr>
        <w:t xml:space="preserve"> further discuss whether such parameters are applicable to LTM event-triggered measurement report as well.</w:t>
      </w:r>
    </w:p>
    <w:p>
      <w:pPr>
        <w:spacing w:before="120" w:after="120"/>
        <w:rPr>
          <w:rFonts w:eastAsia="宋体"/>
          <w:b/>
          <w:bCs/>
          <w:u w:val="single"/>
        </w:rPr>
      </w:pPr>
      <w:r>
        <w:rPr>
          <w:rFonts w:hint="eastAsia" w:eastAsia="宋体"/>
          <w:b/>
          <w:bCs/>
          <w:u w:val="single"/>
        </w:rPr>
        <w:t>reportOnLeave</w:t>
      </w:r>
    </w:p>
    <w:p>
      <w:pPr>
        <w:spacing w:before="120" w:after="120"/>
        <w:rPr>
          <w:rFonts w:eastAsia="宋体"/>
        </w:rPr>
      </w:pPr>
      <w:r>
        <w:rPr>
          <w:rFonts w:hint="eastAsia" w:eastAsia="宋体"/>
        </w:rPr>
        <w:t xml:space="preserve">In L3 measurement reporting, the </w:t>
      </w:r>
      <w:r>
        <w:rPr>
          <w:rFonts w:hint="eastAsia" w:eastAsia="宋体"/>
          <w:i/>
        </w:rPr>
        <w:t>reportOnLeave</w:t>
      </w:r>
      <w:r>
        <w:rPr>
          <w:rFonts w:hint="eastAsia" w:eastAsia="宋体"/>
        </w:rPr>
        <w:t xml:space="preserve"> is used to indicate whether to initiate the measurement reporting procedure when the leaving condition of the event is fulfilled. It can help the NW to know the signal quality deterioration of the concerned beam/cell in time, so that the NW can decide to, e.g., cancel the triggering of handover or adjust the target cell. The similar mechanism is also beneficial for the measurement report for the LTM. </w:t>
      </w:r>
      <w:r>
        <w:rPr>
          <w:rFonts w:eastAsia="宋体"/>
        </w:rPr>
        <w:t>We</w:t>
      </w:r>
      <w:r>
        <w:rPr>
          <w:rFonts w:hint="eastAsia" w:eastAsia="宋体"/>
        </w:rPr>
        <w:t xml:space="preserve"> think it can be applicable to event-triggered L1 measurement report. And it is configurable by the NW.</w:t>
      </w:r>
    </w:p>
    <w:p>
      <w:pPr>
        <w:pStyle w:val="29"/>
        <w:numPr>
          <w:ilvl w:val="0"/>
          <w:numId w:val="7"/>
        </w:numPr>
        <w:spacing w:before="120" w:after="120"/>
        <w:ind w:left="1132" w:hanging="1132" w:hangingChars="564"/>
        <w:rPr>
          <w:lang w:val="en-US"/>
        </w:rPr>
      </w:pPr>
      <w:bookmarkStart w:id="20" w:name="_Toc173924201"/>
      <w:r>
        <w:rPr>
          <w:rFonts w:hint="eastAsia"/>
          <w:lang w:val="en-US"/>
        </w:rPr>
        <w:t xml:space="preserve">The </w:t>
      </w:r>
      <w:r>
        <w:rPr>
          <w:rFonts w:hint="eastAsia"/>
          <w:i/>
          <w:lang w:val="en-US"/>
        </w:rPr>
        <w:t>reportOnLeave</w:t>
      </w:r>
      <w:r>
        <w:rPr>
          <w:rFonts w:hint="eastAsia"/>
          <w:lang w:val="en-US"/>
        </w:rPr>
        <w:t xml:space="preserve"> is applicable to the event-triggered L1 measurement report and configurable by the NW.</w:t>
      </w:r>
      <w:bookmarkEnd w:id="20"/>
    </w:p>
    <w:p>
      <w:pPr>
        <w:spacing w:before="120" w:after="120"/>
        <w:rPr>
          <w:rFonts w:eastAsia="宋体"/>
          <w:b/>
          <w:bCs/>
          <w:u w:val="single"/>
        </w:rPr>
      </w:pPr>
      <w:r>
        <w:rPr>
          <w:rFonts w:hint="eastAsia" w:eastAsia="宋体"/>
          <w:b/>
          <w:bCs/>
          <w:u w:val="single"/>
        </w:rPr>
        <w:t>useAllowedCellList</w:t>
      </w:r>
    </w:p>
    <w:p>
      <w:pPr>
        <w:spacing w:before="120" w:after="120"/>
        <w:rPr>
          <w:rFonts w:eastAsia="宋体"/>
        </w:rPr>
      </w:pPr>
      <w:r>
        <w:rPr>
          <w:rFonts w:hint="eastAsia" w:eastAsia="宋体"/>
        </w:rPr>
        <w:t xml:space="preserve">In L3 measurement, the NW can </w:t>
      </w:r>
      <w:r>
        <w:rPr>
          <w:rFonts w:eastAsia="宋体"/>
        </w:rPr>
        <w:t>provide</w:t>
      </w:r>
      <w:r>
        <w:rPr>
          <w:rFonts w:hint="eastAsia" w:eastAsia="宋体"/>
        </w:rPr>
        <w:t xml:space="preserve"> </w:t>
      </w:r>
      <w:r>
        <w:rPr>
          <w:rFonts w:eastAsia="宋体"/>
        </w:rPr>
        <w:t xml:space="preserve">the </w:t>
      </w:r>
      <w:r>
        <w:rPr>
          <w:rFonts w:hint="eastAsia" w:eastAsia="宋体"/>
        </w:rPr>
        <w:t>allowed and excluded cell list</w:t>
      </w:r>
      <w:r>
        <w:rPr>
          <w:rFonts w:eastAsia="宋体"/>
        </w:rPr>
        <w:t>s</w:t>
      </w:r>
      <w:r>
        <w:rPr>
          <w:rFonts w:hint="eastAsia" w:eastAsia="宋体"/>
        </w:rPr>
        <w:t xml:space="preserve"> in the measurement object configuration, and indicate whether only the cells included in the allowed list of the associated measurement object are applicable for the event in the report configuration, i.e. via </w:t>
      </w:r>
      <w:r>
        <w:rPr>
          <w:rFonts w:hint="eastAsia" w:eastAsia="宋体"/>
          <w:i/>
        </w:rPr>
        <w:t>useAllowedCellList</w:t>
      </w:r>
      <w:r>
        <w:rPr>
          <w:rFonts w:hint="eastAsia" w:eastAsia="宋体"/>
        </w:rPr>
        <w:t xml:space="preserve">. For event-triggered L1 measurement report, the Rle-18 LTM CSI resource configuration (i.e. </w:t>
      </w:r>
      <w:r>
        <w:rPr>
          <w:rFonts w:hint="eastAsia" w:eastAsia="宋体"/>
          <w:i/>
        </w:rPr>
        <w:t>LTM-CSI-ResourceConfig</w:t>
      </w:r>
      <w:r>
        <w:rPr>
          <w:rFonts w:hint="eastAsia" w:eastAsia="宋体"/>
        </w:rPr>
        <w:t xml:space="preserve">) can be reused as the measurement resource. And one </w:t>
      </w:r>
      <w:r>
        <w:rPr>
          <w:rFonts w:hint="eastAsia" w:eastAsia="宋体"/>
          <w:i/>
        </w:rPr>
        <w:t xml:space="preserve">LTM-CSI-ResourceConfig </w:t>
      </w:r>
      <w:r>
        <w:rPr>
          <w:rFonts w:hint="eastAsia" w:eastAsia="宋体"/>
        </w:rPr>
        <w:t>can include one or more beams from one or more candidate cells in one resource set. But the NW may want to make the LTM event only applicable to some specific beams or cells in the resource set. Besides, the current CSI resource configuration is common for all candidate cells, i.e. the UE uses the common CSI resource configuration for L1 measurement in the subsequent LTM. But the candidate beams or cells to be measured</w:t>
      </w:r>
      <w:r>
        <w:rPr>
          <w:rFonts w:eastAsia="宋体"/>
        </w:rPr>
        <w:t>/reported</w:t>
      </w:r>
      <w:r>
        <w:rPr>
          <w:rFonts w:hint="eastAsia" w:eastAsia="宋体"/>
        </w:rPr>
        <w:t xml:space="preserve"> may be </w:t>
      </w:r>
      <w:r>
        <w:rPr>
          <w:rFonts w:eastAsia="宋体"/>
        </w:rPr>
        <w:t xml:space="preserve">changed </w:t>
      </w:r>
      <w:r>
        <w:rPr>
          <w:rFonts w:hint="eastAsia" w:eastAsia="宋体"/>
        </w:rPr>
        <w:t xml:space="preserve">when the UE switches to different candidate cells, e.g. only </w:t>
      </w:r>
      <w:r>
        <w:rPr>
          <w:rFonts w:eastAsia="宋体"/>
        </w:rPr>
        <w:t xml:space="preserve">consider </w:t>
      </w:r>
      <w:r>
        <w:rPr>
          <w:rFonts w:hint="eastAsia" w:eastAsia="宋体"/>
        </w:rPr>
        <w:t xml:space="preserve">some specific neighbour beams/cells. </w:t>
      </w:r>
    </w:p>
    <w:p>
      <w:pPr>
        <w:pStyle w:val="28"/>
        <w:numPr>
          <w:ilvl w:val="0"/>
          <w:numId w:val="6"/>
        </w:numPr>
        <w:spacing w:before="120" w:after="120"/>
        <w:ind w:left="1273" w:hanging="1273"/>
        <w:rPr>
          <w:lang w:val="en-US" w:eastAsia="zh-CN"/>
        </w:rPr>
      </w:pPr>
      <w:bookmarkStart w:id="21" w:name="_Toc173924189"/>
      <w:r>
        <w:rPr>
          <w:rFonts w:hint="eastAsia"/>
          <w:lang w:val="en-US" w:eastAsia="zh-CN"/>
        </w:rPr>
        <w:t>The Rle-18 LTM CSI resource configuration (i.e. LTM-CSI-ResourceConfig) can include one or more beams from one or more candidate cells in one resource set. The NW may want to make the LTM event only applicable to some specific beams or cells in the resource set.</w:t>
      </w:r>
      <w:bookmarkEnd w:id="21"/>
    </w:p>
    <w:p>
      <w:pPr>
        <w:spacing w:before="120" w:after="120"/>
        <w:rPr>
          <w:rFonts w:eastAsia="宋体"/>
        </w:rPr>
      </w:pPr>
      <w:r>
        <w:rPr>
          <w:rFonts w:hint="eastAsia" w:eastAsia="宋体"/>
        </w:rPr>
        <w:t xml:space="preserve">Thus, it would be beneficial to reuse the similar mechanism for </w:t>
      </w:r>
      <w:r>
        <w:rPr>
          <w:rFonts w:eastAsia="宋体"/>
        </w:rPr>
        <w:t xml:space="preserve">the </w:t>
      </w:r>
      <w:r>
        <w:rPr>
          <w:rFonts w:hint="eastAsia" w:eastAsia="宋体"/>
        </w:rPr>
        <w:t xml:space="preserve">allowed cell list, to allow the UE reporting L1 measurements only for some specific cells and/or beams, </w:t>
      </w:r>
      <w:r>
        <w:rPr>
          <w:rFonts w:eastAsia="宋体"/>
        </w:rPr>
        <w:t>e.g.</w:t>
      </w:r>
      <w:r>
        <w:rPr>
          <w:rFonts w:hint="eastAsia" w:eastAsia="宋体"/>
        </w:rPr>
        <w:t xml:space="preserve"> avoid the unnecessary measurement reporting. And we can further discuss whether the allowed cell and/or beam list is provided in the measurement resource configuration</w:t>
      </w:r>
      <w:r>
        <w:rPr>
          <w:rFonts w:eastAsia="宋体"/>
        </w:rPr>
        <w:t xml:space="preserve"> (i.e. similar to L3 measurement)</w:t>
      </w:r>
      <w:r>
        <w:rPr>
          <w:rFonts w:hint="eastAsia" w:eastAsia="宋体"/>
        </w:rPr>
        <w:t xml:space="preserve"> or the measurement report configuration. </w:t>
      </w:r>
    </w:p>
    <w:p>
      <w:pPr>
        <w:pStyle w:val="29"/>
        <w:numPr>
          <w:ilvl w:val="0"/>
          <w:numId w:val="7"/>
        </w:numPr>
        <w:spacing w:before="120" w:after="120"/>
        <w:ind w:left="1132" w:hanging="1132" w:hangingChars="564"/>
        <w:rPr>
          <w:lang w:val="en-US"/>
        </w:rPr>
      </w:pPr>
      <w:bookmarkStart w:id="22" w:name="_Toc173924202"/>
      <w:r>
        <w:rPr>
          <w:rFonts w:hint="eastAsia"/>
          <w:lang w:val="en-US"/>
        </w:rPr>
        <w:t>RAN2 to discuss whether the allowed cell</w:t>
      </w:r>
      <w:r>
        <w:rPr>
          <w:lang w:val="en-US"/>
        </w:rPr>
        <w:t>/</w:t>
      </w:r>
      <w:r>
        <w:rPr>
          <w:rFonts w:hint="eastAsia"/>
          <w:lang w:val="en-US"/>
        </w:rPr>
        <w:t xml:space="preserve">beam list </w:t>
      </w:r>
      <w:r>
        <w:rPr>
          <w:lang w:val="en-US"/>
        </w:rPr>
        <w:t>is applicable to</w:t>
      </w:r>
      <w:r>
        <w:rPr>
          <w:rFonts w:hint="eastAsia"/>
          <w:lang w:val="en-US"/>
        </w:rPr>
        <w:t xml:space="preserve"> the event-triggered measurement report. FFS whether the allowed cell</w:t>
      </w:r>
      <w:r>
        <w:rPr>
          <w:lang w:val="en-US"/>
        </w:rPr>
        <w:t>/</w:t>
      </w:r>
      <w:r>
        <w:rPr>
          <w:rFonts w:hint="eastAsia"/>
          <w:lang w:val="en-US"/>
        </w:rPr>
        <w:t>beam list is provided in the measurement resource configuration or the measurement report configuration.</w:t>
      </w:r>
      <w:bookmarkEnd w:id="22"/>
    </w:p>
    <w:p>
      <w:pPr>
        <w:spacing w:before="120" w:after="120"/>
        <w:rPr>
          <w:rFonts w:eastAsia="宋体"/>
          <w:b/>
          <w:bCs/>
          <w:u w:val="single"/>
        </w:rPr>
      </w:pPr>
      <w:r>
        <w:rPr>
          <w:rFonts w:hint="eastAsia" w:eastAsia="宋体"/>
          <w:b/>
          <w:bCs/>
          <w:u w:val="single"/>
        </w:rPr>
        <w:t>rsType</w:t>
      </w:r>
    </w:p>
    <w:p>
      <w:pPr>
        <w:spacing w:before="120" w:after="120"/>
        <w:rPr>
          <w:rFonts w:eastAsia="宋体"/>
        </w:rPr>
      </w:pPr>
      <w:r>
        <w:rPr>
          <w:rFonts w:hint="eastAsia" w:eastAsia="宋体"/>
        </w:rPr>
        <w:t>At last meeting, we agreed that both SSB and CSI-RS are supported as the measurement resource for event-triggered measurement report. It</w:t>
      </w:r>
      <w:r>
        <w:rPr>
          <w:rFonts w:eastAsia="宋体"/>
        </w:rPr>
        <w:t>’</w:t>
      </w:r>
      <w:r>
        <w:rPr>
          <w:rFonts w:hint="eastAsia" w:eastAsia="宋体"/>
        </w:rPr>
        <w:t>s possible to configure the SSB resources and CSI-RS resources in one measurement resource configuration, but the NW wants to enable the event-triggered measurement report for only one type of measurement resource. Thus, it would be more flexible to allow the NW indicate which RS is used to provide the measurement result for the LTM event evaluation in the report configuration.</w:t>
      </w:r>
    </w:p>
    <w:p>
      <w:pPr>
        <w:pStyle w:val="29"/>
        <w:numPr>
          <w:ilvl w:val="0"/>
          <w:numId w:val="7"/>
        </w:numPr>
        <w:spacing w:before="120" w:after="120"/>
        <w:ind w:left="1132" w:hanging="1132" w:hangingChars="564"/>
        <w:rPr>
          <w:lang w:val="en-US"/>
        </w:rPr>
      </w:pPr>
      <w:bookmarkStart w:id="23" w:name="_Toc173924203"/>
      <w:r>
        <w:rPr>
          <w:rFonts w:hint="eastAsia"/>
          <w:lang w:val="en-US"/>
        </w:rPr>
        <w:t>The RS used to provide the measurement results for the LTM event evaluation is configurable by the NW, e.g. include the rsType in the report configuration.</w:t>
      </w:r>
      <w:bookmarkEnd w:id="23"/>
    </w:p>
    <w:p>
      <w:pPr>
        <w:rPr>
          <w:rFonts w:hint="eastAsia" w:eastAsia="宋体"/>
          <w:lang w:val="en-US" w:eastAsia="zh-CN"/>
        </w:rPr>
      </w:pPr>
      <w:r>
        <w:rPr>
          <w:rFonts w:hint="eastAsia" w:eastAsia="宋体"/>
          <w:lang w:val="en-US" w:eastAsia="zh-CN"/>
        </w:rPr>
        <w:t xml:space="preserve">Besides, RAN2 made the working assumption that </w:t>
      </w:r>
      <w:r>
        <w:rPr>
          <w:rFonts w:hint="eastAsia" w:eastAsia="宋体"/>
          <w:lang w:eastAsia="zh-CN"/>
        </w:rPr>
        <w:t>s</w:t>
      </w:r>
      <w:r>
        <w:rPr>
          <w:rFonts w:hint="eastAsia" w:eastAsia="宋体"/>
        </w:rPr>
        <w:t>ame RS type should be used for both serving and neighbouring cell for event LTM3 and event LTM5.</w:t>
      </w:r>
      <w:r>
        <w:rPr>
          <w:rFonts w:hint="eastAsia" w:eastAsia="宋体"/>
          <w:lang w:val="en-US" w:eastAsia="zh-CN"/>
        </w:rPr>
        <w:t xml:space="preserve"> It follows the same principle for the L3 measurement. According to the rsType included in the report configuration, the UE can identify which RS type is used for the serving and candidate cell for the LTM event evaluation.</w:t>
      </w:r>
    </w:p>
    <w:p>
      <w:pPr>
        <w:pStyle w:val="29"/>
        <w:numPr>
          <w:ilvl w:val="0"/>
          <w:numId w:val="7"/>
        </w:numPr>
        <w:spacing w:before="120" w:after="120"/>
        <w:ind w:left="1132" w:hanging="1132" w:hangingChars="564"/>
        <w:rPr>
          <w:rFonts w:hint="eastAsia" w:eastAsiaTheme="minorEastAsia"/>
          <w:lang w:val="en-US" w:eastAsia="zh-CN"/>
        </w:rPr>
      </w:pPr>
      <w:r>
        <w:rPr>
          <w:rFonts w:hint="eastAsia" w:eastAsiaTheme="minorEastAsia"/>
          <w:lang w:val="en-US" w:eastAsia="zh-CN"/>
        </w:rPr>
        <w:t xml:space="preserve">RAN2 confirms the working assumption: </w:t>
      </w:r>
      <w:r>
        <w:rPr>
          <w:rFonts w:hint="eastAsia"/>
          <w:lang w:val="en-US"/>
        </w:rPr>
        <w:t>Same RS type should be used for both serving and neighbouring cell for event LTM3 and event LTM5.</w:t>
      </w:r>
      <w:r>
        <w:rPr>
          <w:rFonts w:hint="eastAsia" w:eastAsiaTheme="minorEastAsia"/>
          <w:lang w:val="en-US" w:eastAsia="zh-CN"/>
        </w:rPr>
        <w:t xml:space="preserve"> The RS type used for the event evaluation is indicated by the </w:t>
      </w:r>
      <w:r>
        <w:rPr>
          <w:rFonts w:hint="eastAsia"/>
          <w:lang w:val="en-US" w:eastAsia="zh-CN"/>
        </w:rPr>
        <w:t xml:space="preserve">NW, e.g. via </w:t>
      </w:r>
      <w:r>
        <w:rPr>
          <w:rFonts w:hint="eastAsia" w:eastAsiaTheme="minorEastAsia"/>
          <w:lang w:val="en-US" w:eastAsia="zh-CN"/>
        </w:rPr>
        <w:t>rsType in the report configuration.</w:t>
      </w:r>
    </w:p>
    <w:p>
      <w:pPr>
        <w:spacing w:before="120" w:after="120"/>
        <w:rPr>
          <w:rFonts w:eastAsia="宋体"/>
          <w:b/>
          <w:bCs/>
          <w:u w:val="single"/>
        </w:rPr>
      </w:pPr>
      <w:r>
        <w:rPr>
          <w:rFonts w:hint="eastAsia" w:eastAsia="宋体"/>
          <w:b/>
          <w:bCs/>
          <w:u w:val="single"/>
        </w:rPr>
        <w:t>reportInterval, reportAmount</w:t>
      </w:r>
    </w:p>
    <w:p>
      <w:pPr>
        <w:spacing w:before="120" w:after="120"/>
        <w:rPr>
          <w:rFonts w:eastAsia="宋体"/>
        </w:rPr>
      </w:pPr>
      <w:r>
        <w:rPr>
          <w:rFonts w:hint="eastAsia" w:eastAsia="宋体"/>
        </w:rPr>
        <w:t xml:space="preserve">In L3 measurement, the </w:t>
      </w:r>
      <w:r>
        <w:rPr>
          <w:rFonts w:hint="eastAsia" w:eastAsia="宋体"/>
          <w:i/>
        </w:rPr>
        <w:t>reportInterval</w:t>
      </w:r>
      <w:r>
        <w:rPr>
          <w:rFonts w:hint="eastAsia" w:eastAsia="宋体"/>
        </w:rPr>
        <w:t xml:space="preserve"> and </w:t>
      </w:r>
      <w:r>
        <w:rPr>
          <w:rFonts w:hint="eastAsia" w:eastAsia="宋体"/>
          <w:i/>
        </w:rPr>
        <w:t>reportAmount</w:t>
      </w:r>
      <w:r>
        <w:rPr>
          <w:rFonts w:hint="eastAsia" w:eastAsia="宋体"/>
        </w:rPr>
        <w:t xml:space="preserve"> are applicable </w:t>
      </w:r>
      <w:r>
        <w:rPr>
          <w:rFonts w:eastAsia="宋体"/>
        </w:rPr>
        <w:t>to</w:t>
      </w:r>
      <w:r>
        <w:rPr>
          <w:rFonts w:hint="eastAsia" w:eastAsia="宋体"/>
        </w:rPr>
        <w:t xml:space="preserve"> the L3 event-triggered measurement report, which is used for event-triggered periodical reporting. Namely, once the reporting is triggered by an event, the UE can periodically send the subsequent measurement report up to a certain amount as configured by </w:t>
      </w:r>
      <w:r>
        <w:rPr>
          <w:rFonts w:hint="eastAsia" w:eastAsia="宋体"/>
          <w:i/>
        </w:rPr>
        <w:t>reportAmount</w:t>
      </w:r>
      <w:r>
        <w:rPr>
          <w:rFonts w:hint="eastAsia" w:eastAsia="宋体"/>
        </w:rPr>
        <w:t xml:space="preserve">, as long as </w:t>
      </w:r>
      <w:r>
        <w:rPr>
          <w:rFonts w:eastAsia="宋体"/>
        </w:rPr>
        <w:t>there is cell(s</w:t>
      </w:r>
      <w:r>
        <w:rPr>
          <w:rFonts w:hint="eastAsia" w:eastAsia="宋体"/>
        </w:rPr>
        <w:t>) remained</w:t>
      </w:r>
      <w:r>
        <w:rPr>
          <w:rFonts w:eastAsia="宋体"/>
        </w:rPr>
        <w:t xml:space="preserve"> </w:t>
      </w:r>
      <w:r>
        <w:rPr>
          <w:rFonts w:hint="eastAsia" w:eastAsia="宋体"/>
        </w:rPr>
        <w:t>in</w:t>
      </w:r>
      <w:r>
        <w:rPr>
          <w:rFonts w:eastAsia="宋体"/>
        </w:rPr>
        <w:t xml:space="preserve"> </w:t>
      </w:r>
      <w:r>
        <w:rPr>
          <w:rFonts w:hint="eastAsia" w:eastAsia="宋体"/>
        </w:rPr>
        <w:t>the triggered cell list. For event-triggered L1 measurement report, we think the subsequent periodical reporting is also useful for the NW, e.g. to identify the best beam change. But the subsequent measurement report shall also increase the signaling overhead if a lot of reporting is triggered by the event. Thus, it would be better to allow the NW controlling the report interval and report amount, i.e. similar to L3 measurement.</w:t>
      </w:r>
    </w:p>
    <w:p>
      <w:pPr>
        <w:pStyle w:val="29"/>
        <w:numPr>
          <w:ilvl w:val="0"/>
          <w:numId w:val="7"/>
        </w:numPr>
        <w:spacing w:before="120" w:after="120"/>
        <w:ind w:left="1132" w:hanging="1132" w:hangingChars="564"/>
        <w:rPr>
          <w:lang w:val="en-US"/>
        </w:rPr>
      </w:pPr>
      <w:bookmarkStart w:id="24" w:name="_Toc173924204"/>
      <w:r>
        <w:rPr>
          <w:rFonts w:hint="eastAsia"/>
          <w:lang w:val="en-US"/>
        </w:rPr>
        <w:t xml:space="preserve">The </w:t>
      </w:r>
      <w:r>
        <w:rPr>
          <w:rFonts w:hint="eastAsia"/>
          <w:i/>
          <w:lang w:val="en-US"/>
        </w:rPr>
        <w:t>reportInterval</w:t>
      </w:r>
      <w:r>
        <w:rPr>
          <w:rFonts w:hint="eastAsia"/>
          <w:lang w:val="en-US"/>
        </w:rPr>
        <w:t xml:space="preserve"> and </w:t>
      </w:r>
      <w:r>
        <w:rPr>
          <w:rFonts w:hint="eastAsia"/>
          <w:i/>
          <w:lang w:val="en-US"/>
        </w:rPr>
        <w:t>reportAmount</w:t>
      </w:r>
      <w:r>
        <w:rPr>
          <w:rFonts w:hint="eastAsia"/>
          <w:lang w:val="en-US"/>
        </w:rPr>
        <w:t xml:space="preserve"> are applicable to the event-triggered measurement report and configurable by the NW.</w:t>
      </w:r>
      <w:bookmarkEnd w:id="24"/>
    </w:p>
    <w:p>
      <w:pPr>
        <w:spacing w:before="120" w:after="120"/>
        <w:rPr>
          <w:rFonts w:eastAsia="宋体"/>
          <w:b/>
          <w:bCs/>
          <w:u w:val="single"/>
        </w:rPr>
      </w:pPr>
      <w:r>
        <w:rPr>
          <w:rFonts w:hint="eastAsia" w:eastAsia="宋体"/>
          <w:b/>
          <w:bCs/>
          <w:u w:val="single"/>
        </w:rPr>
        <w:t>reportQuantityCell</w:t>
      </w:r>
    </w:p>
    <w:p>
      <w:pPr>
        <w:spacing w:before="120" w:after="120"/>
        <w:rPr>
          <w:rFonts w:eastAsia="宋体"/>
        </w:rPr>
      </w:pPr>
      <w:r>
        <w:rPr>
          <w:rFonts w:hint="eastAsia" w:eastAsia="宋体"/>
        </w:rPr>
        <w:t xml:space="preserve">In L3 measurement reporting, the reportQuantityCell is used to indicate the measurement quantities to be included in the measurement report. In Rel-18 LTM measurement report, only L1-RSRP is included. Some companies proposed that L1-SINR could also be included in the measurement report, e.g. useful for the </w:t>
      </w:r>
      <w:r>
        <w:rPr>
          <w:rFonts w:eastAsia="宋体"/>
        </w:rPr>
        <w:t xml:space="preserve">neighbor </w:t>
      </w:r>
      <w:r>
        <w:rPr>
          <w:rFonts w:hint="eastAsia" w:eastAsia="宋体"/>
        </w:rPr>
        <w:t>cell</w:t>
      </w:r>
      <w:r>
        <w:rPr>
          <w:rFonts w:eastAsia="宋体"/>
        </w:rPr>
        <w:t xml:space="preserve"> </w:t>
      </w:r>
      <w:r>
        <w:rPr>
          <w:rFonts w:hint="eastAsia" w:eastAsia="宋体"/>
        </w:rPr>
        <w:t xml:space="preserve">scheduling. Besides, whether to support L1-SINR is also under the RAN1 MIMO discussion. In our understanding, it can be up to RAN1 decide whether to support L1-SINR, and then RAN2 can discuss whether to indicate the </w:t>
      </w:r>
      <w:r>
        <w:rPr>
          <w:rFonts w:hint="eastAsia" w:eastAsia="宋体"/>
          <w:i/>
        </w:rPr>
        <w:t>reportQuantityCell</w:t>
      </w:r>
      <w:r>
        <w:rPr>
          <w:rFonts w:eastAsia="宋体"/>
          <w:i/>
        </w:rPr>
        <w:t>/</w:t>
      </w:r>
      <w:r>
        <w:rPr>
          <w:rFonts w:hint="eastAsia" w:eastAsia="宋体"/>
          <w:i/>
        </w:rPr>
        <w:t>Beam</w:t>
      </w:r>
      <w:r>
        <w:rPr>
          <w:rFonts w:hint="eastAsia" w:eastAsia="宋体"/>
        </w:rPr>
        <w:t xml:space="preserve"> in the report configuration.</w:t>
      </w:r>
    </w:p>
    <w:p>
      <w:pPr>
        <w:pStyle w:val="29"/>
        <w:numPr>
          <w:ilvl w:val="0"/>
          <w:numId w:val="7"/>
        </w:numPr>
        <w:spacing w:before="120" w:after="120"/>
        <w:ind w:left="1132" w:hanging="1132" w:hangingChars="564"/>
        <w:rPr>
          <w:lang w:val="en-US"/>
        </w:rPr>
      </w:pPr>
      <w:bookmarkStart w:id="25" w:name="_Toc173924205"/>
      <w:r>
        <w:rPr>
          <w:rFonts w:hint="eastAsia"/>
          <w:lang w:val="en-US"/>
        </w:rPr>
        <w:t>It</w:t>
      </w:r>
      <w:r>
        <w:rPr>
          <w:lang w:val="en-US"/>
        </w:rPr>
        <w:t>’</w:t>
      </w:r>
      <w:r>
        <w:rPr>
          <w:rFonts w:hint="eastAsia"/>
          <w:lang w:val="en-US"/>
        </w:rPr>
        <w:t xml:space="preserve">s up to RAN1 whether </w:t>
      </w:r>
      <w:r>
        <w:rPr>
          <w:lang w:val="en-US"/>
        </w:rPr>
        <w:t xml:space="preserve">other measurement qunatities (e.g. </w:t>
      </w:r>
      <w:r>
        <w:rPr>
          <w:rFonts w:hint="eastAsia"/>
          <w:lang w:val="en-US"/>
        </w:rPr>
        <w:t>L1-SINR</w:t>
      </w:r>
      <w:r>
        <w:rPr>
          <w:lang w:val="en-US"/>
        </w:rPr>
        <w:t>) are</w:t>
      </w:r>
      <w:r>
        <w:rPr>
          <w:rFonts w:hint="eastAsia"/>
          <w:lang w:val="en-US"/>
        </w:rPr>
        <w:t xml:space="preserve"> supported for event-triggered measurement report.</w:t>
      </w:r>
      <w:bookmarkEnd w:id="25"/>
    </w:p>
    <w:p>
      <w:pPr>
        <w:spacing w:before="120" w:after="120"/>
        <w:rPr>
          <w:rFonts w:eastAsia="宋体"/>
          <w:b/>
          <w:bCs/>
          <w:u w:val="single"/>
        </w:rPr>
      </w:pPr>
      <w:r>
        <w:rPr>
          <w:rFonts w:hint="eastAsia" w:eastAsia="宋体"/>
          <w:b/>
          <w:bCs/>
          <w:u w:val="single"/>
        </w:rPr>
        <w:t>maxReportCells, maxNrofRS-IndexesToReport</w:t>
      </w:r>
    </w:p>
    <w:p>
      <w:pPr>
        <w:spacing w:before="120" w:after="120"/>
        <w:rPr>
          <w:rFonts w:eastAsia="宋体"/>
        </w:rPr>
      </w:pPr>
      <w:r>
        <w:rPr>
          <w:rFonts w:hint="eastAsia" w:eastAsia="宋体"/>
        </w:rPr>
        <w:t xml:space="preserve">In L3 measurement reporting, the </w:t>
      </w:r>
      <w:r>
        <w:rPr>
          <w:rFonts w:hint="eastAsia" w:eastAsia="宋体"/>
          <w:i/>
        </w:rPr>
        <w:t>maxReportCells</w:t>
      </w:r>
      <w:r>
        <w:rPr>
          <w:rFonts w:hint="eastAsia" w:eastAsia="宋体"/>
        </w:rPr>
        <w:t xml:space="preserve"> is used to indicate the max number of non-serving cells to include in the measurement report, and the maximum value is 8. The </w:t>
      </w:r>
      <w:r>
        <w:rPr>
          <w:rFonts w:hint="eastAsia" w:eastAsia="宋体"/>
          <w:i/>
        </w:rPr>
        <w:t>maxNrofRS-IndexesToReport</w:t>
      </w:r>
      <w:r>
        <w:rPr>
          <w:rFonts w:hint="eastAsia" w:eastAsia="宋体"/>
        </w:rPr>
        <w:t xml:space="preserve"> is used to indicate the number of RS indexes to include in the measurement report, and the maximum value is 32. For Rel-18 LTM L1 measurement reporting, the maximum number of cells (i.e. </w:t>
      </w:r>
      <w:r>
        <w:rPr>
          <w:rFonts w:hint="eastAsia" w:eastAsia="宋体"/>
          <w:i/>
        </w:rPr>
        <w:t>nrOfReportedCells</w:t>
      </w:r>
      <w:r>
        <w:rPr>
          <w:rFonts w:hint="eastAsia" w:eastAsia="宋体"/>
        </w:rPr>
        <w:t xml:space="preserve">) and the maximum number of beams per cell (i.e. </w:t>
      </w:r>
      <w:r>
        <w:rPr>
          <w:rFonts w:hint="eastAsia" w:eastAsia="宋体"/>
          <w:i/>
        </w:rPr>
        <w:t>nrOfReportedRS-PerCell</w:t>
      </w:r>
      <w:r>
        <w:rPr>
          <w:rFonts w:hint="eastAsia" w:eastAsia="宋体"/>
        </w:rPr>
        <w:t xml:space="preserve">) to include in the measurement report </w:t>
      </w:r>
      <w:r>
        <w:rPr>
          <w:rFonts w:eastAsia="宋体"/>
        </w:rPr>
        <w:t>are</w:t>
      </w:r>
      <w:r>
        <w:rPr>
          <w:rFonts w:hint="eastAsia" w:eastAsia="宋体"/>
        </w:rPr>
        <w:t xml:space="preserve"> also controlled by the NW</w:t>
      </w:r>
      <w:r>
        <w:rPr>
          <w:rFonts w:hint="eastAsia" w:eastAsia="宋体"/>
          <w:lang w:val="en-US" w:eastAsia="zh-CN"/>
        </w:rPr>
        <w:t>, based on the UE capability</w:t>
      </w:r>
      <w:r>
        <w:rPr>
          <w:rFonts w:hint="eastAsia" w:eastAsia="宋体"/>
        </w:rPr>
        <w:t xml:space="preserve">. The maximum value of each item is 4, so the </w:t>
      </w:r>
      <w:r>
        <w:rPr>
          <w:rFonts w:eastAsia="宋体"/>
        </w:rPr>
        <w:t xml:space="preserve">maximum </w:t>
      </w:r>
      <w:r>
        <w:rPr>
          <w:rFonts w:hint="eastAsia" w:eastAsia="宋体"/>
        </w:rPr>
        <w:t xml:space="preserve">total number of beams </w:t>
      </w:r>
      <w:r>
        <w:rPr>
          <w:rFonts w:eastAsia="宋体"/>
        </w:rPr>
        <w:t xml:space="preserve">to include in one measurement report </w:t>
      </w:r>
      <w:r>
        <w:rPr>
          <w:rFonts w:hint="eastAsia" w:eastAsia="宋体"/>
        </w:rPr>
        <w:t xml:space="preserve">is limited to 16. </w:t>
      </w:r>
    </w:p>
    <w:p>
      <w:pPr>
        <w:pStyle w:val="28"/>
        <w:numPr>
          <w:ilvl w:val="0"/>
          <w:numId w:val="6"/>
        </w:numPr>
        <w:spacing w:before="120" w:after="120"/>
        <w:ind w:left="1273" w:hanging="1273"/>
        <w:rPr>
          <w:lang w:val="en-US" w:eastAsia="zh-CN"/>
        </w:rPr>
      </w:pPr>
      <w:bookmarkStart w:id="26" w:name="_Toc173924190"/>
      <w:r>
        <w:rPr>
          <w:lang w:val="en-US" w:eastAsia="zh-CN"/>
        </w:rPr>
        <w:t xml:space="preserve">In </w:t>
      </w:r>
      <w:r>
        <w:rPr>
          <w:rFonts w:hint="eastAsia"/>
          <w:lang w:val="en-US" w:eastAsia="zh-CN"/>
        </w:rPr>
        <w:t xml:space="preserve">Rel-18 LTM L1 measurement reporting, the maximum number of cells (i.e. nrOfReportedCells) and the maximum number of beams per cell (i.e. nrOfReportedRS-PerCell) to include in the measurement report </w:t>
      </w:r>
      <w:r>
        <w:rPr>
          <w:lang w:val="en-US" w:eastAsia="zh-CN"/>
        </w:rPr>
        <w:t>are</w:t>
      </w:r>
      <w:r>
        <w:rPr>
          <w:rFonts w:hint="eastAsia"/>
          <w:lang w:val="en-US" w:eastAsia="zh-CN"/>
        </w:rPr>
        <w:t xml:space="preserve"> controlled by the NW, based on the UE capability. </w:t>
      </w:r>
      <w:r>
        <w:rPr>
          <w:lang w:val="en-US" w:eastAsia="zh-CN"/>
        </w:rPr>
        <w:t>The maximum total number of beams to include in one measurement report is limited to 16.</w:t>
      </w:r>
      <w:bookmarkEnd w:id="26"/>
    </w:p>
    <w:p>
      <w:pPr>
        <w:spacing w:before="120" w:after="120"/>
        <w:rPr>
          <w:rFonts w:eastAsia="宋体"/>
        </w:rPr>
      </w:pPr>
      <w:r>
        <w:rPr>
          <w:rFonts w:hint="eastAsia" w:eastAsia="宋体"/>
        </w:rPr>
        <w:t>The similar mechanism can be followed in the event-triggered L1 measurement report. Namely, the maximum number of cells and the maximum number of beams per cell to include in the measurement report are configurable by the NW</w:t>
      </w:r>
      <w:r>
        <w:rPr>
          <w:rFonts w:hint="eastAsia" w:eastAsia="宋体"/>
          <w:lang w:val="en-US" w:eastAsia="zh-CN"/>
        </w:rPr>
        <w:t>, if supported by the UE</w:t>
      </w:r>
      <w:r>
        <w:rPr>
          <w:rFonts w:hint="eastAsia" w:eastAsia="宋体"/>
        </w:rPr>
        <w:t xml:space="preserve">. Considering that MAC CE is preferred to be used to carry the event-triggered L1 measurement report, larger and more flexible message size can be used to carry more measurement results, compared to the UCI </w:t>
      </w:r>
      <w:r>
        <w:rPr>
          <w:rFonts w:eastAsia="宋体"/>
        </w:rPr>
        <w:t xml:space="preserve">based </w:t>
      </w:r>
      <w:r>
        <w:rPr>
          <w:rFonts w:hint="eastAsia" w:eastAsia="宋体"/>
        </w:rPr>
        <w:t xml:space="preserve">solution. We can further discuss whether to extend the maximum </w:t>
      </w:r>
      <w:r>
        <w:rPr>
          <w:rFonts w:eastAsia="宋体"/>
        </w:rPr>
        <w:t>total</w:t>
      </w:r>
      <w:r>
        <w:rPr>
          <w:rFonts w:hint="eastAsia" w:eastAsia="宋体"/>
        </w:rPr>
        <w:t xml:space="preserve"> number of beams to include in the measurement report, e.g. 32. </w:t>
      </w:r>
    </w:p>
    <w:p>
      <w:pPr>
        <w:pStyle w:val="29"/>
        <w:numPr>
          <w:ilvl w:val="0"/>
          <w:numId w:val="7"/>
        </w:numPr>
        <w:spacing w:before="120" w:after="120"/>
        <w:ind w:left="1132" w:hanging="1132" w:hangingChars="564"/>
        <w:rPr>
          <w:lang w:val="en-US"/>
        </w:rPr>
      </w:pPr>
      <w:bookmarkStart w:id="27" w:name="_Toc173924206"/>
      <w:r>
        <w:rPr>
          <w:rFonts w:hint="eastAsia"/>
          <w:lang w:val="en-US"/>
        </w:rPr>
        <w:t xml:space="preserve">For event-triggered L1 measurement report, </w:t>
      </w:r>
      <w:r>
        <w:rPr>
          <w:rFonts w:hint="eastAsia"/>
          <w:lang w:val="en-US" w:eastAsia="zh-CN"/>
        </w:rPr>
        <w:t xml:space="preserve">if supported by the UE, </w:t>
      </w:r>
      <w:r>
        <w:rPr>
          <w:rFonts w:hint="eastAsia"/>
          <w:lang w:val="en-US"/>
        </w:rPr>
        <w:t>the maximum number of cells and the maximum number of beams per cell to include in the measurement report are configurable by the NW, similar to Rel-18 LTM L1 measurement. FFS whether to extend the maximum number, e.g. maximum total number of beams is 32.</w:t>
      </w:r>
      <w:bookmarkEnd w:id="27"/>
      <w:r>
        <w:rPr>
          <w:rFonts w:hint="eastAsia"/>
          <w:lang w:val="en-US"/>
        </w:rPr>
        <w:t xml:space="preserve"> </w:t>
      </w:r>
    </w:p>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pPr>
      <w:r>
        <w:rPr>
          <w:rFonts w:hint="eastAsia" w:eastAsia="宋体"/>
          <w:bCs/>
          <w:szCs w:val="21"/>
        </w:rPr>
        <w:t xml:space="preserve">In this contribution, we discussed the </w:t>
      </w:r>
      <w:r>
        <w:rPr>
          <w:rFonts w:eastAsia="宋体"/>
          <w:bCs/>
          <w:szCs w:val="21"/>
        </w:rPr>
        <w:t>event-triggered L1 measurement reporting</w:t>
      </w:r>
      <w:r>
        <w:rPr>
          <w:rFonts w:hint="eastAsia" w:eastAsia="宋体"/>
          <w:bCs/>
          <w:szCs w:val="21"/>
        </w:rPr>
        <w:t xml:space="preserve"> with the following observations and proposals:</w:t>
      </w:r>
    </w:p>
    <w:p>
      <w:pPr>
        <w:pStyle w:val="15"/>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lang w:val="en-US" w:eastAsia="zh-CN"/>
        </w:rPr>
        <w:t>In Re</w:t>
      </w:r>
      <w:r>
        <w:rPr>
          <w:rFonts w:hint="eastAsia"/>
          <w:lang w:val="en-US" w:eastAsia="zh-CN"/>
        </w:rPr>
        <w:t xml:space="preserve">l-18 LTM L1 measurement report, the L1-RSRP and the corresponding candidate beam and cell information are included, wherein the candidate beam and cell information </w:t>
      </w:r>
      <w:r>
        <w:rPr>
          <w:lang w:val="en-US" w:eastAsia="zh-CN"/>
        </w:rPr>
        <w:t>are</w:t>
      </w:r>
      <w:r>
        <w:rPr>
          <w:rFonts w:hint="eastAsia"/>
          <w:lang w:val="en-US" w:eastAsia="zh-CN"/>
        </w:rPr>
        <w:t xml:space="preserve"> implicitly indicated by the entry index (i.e. SSBRI) in the LTM-CSI-ResourceConfig.</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In Rel-18 LTM L1 measurement reporting, based on the UE capability (i.e. currentSpCellInclL1-Report-r18), the NW can explicitly indicate whether to include the L1 measurement result of the SpCell in the report. But for L3 measurement reporting, the measurement result of the SpCell is mandatory included.</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The Rle-18 LTM CSI resource configuration (i.e. LTM-CSI-ResourceConfig) can include one or more beams from one or more candidate cells in one resource set. The NW may want to make the LTM event only applicable to some specific beams or cells in the resource set.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lang w:val="en-US" w:eastAsia="zh-CN"/>
        </w:rPr>
        <w:t xml:space="preserve">In </w:t>
      </w:r>
      <w:r>
        <w:rPr>
          <w:rFonts w:hint="eastAsia"/>
          <w:lang w:val="en-US" w:eastAsia="zh-CN"/>
        </w:rPr>
        <w:t xml:space="preserve">Rel-18 LTM L1 measurement reporting, the maximum number of cells (i.e. nrOfReportedCells) and the maximum number of beams per cell (i.e. nrOfReportedRS-PerCell) to include in the measurement report </w:t>
      </w:r>
      <w:r>
        <w:rPr>
          <w:lang w:val="en-US" w:eastAsia="zh-CN"/>
        </w:rPr>
        <w:t>are</w:t>
      </w:r>
      <w:r>
        <w:rPr>
          <w:rFonts w:hint="eastAsia"/>
          <w:lang w:val="en-US" w:eastAsia="zh-CN"/>
        </w:rPr>
        <w:t xml:space="preserve"> controlled by the NW, based on the UE capability. </w:t>
      </w:r>
      <w:r>
        <w:rPr>
          <w:lang w:val="en-US" w:eastAsia="zh-CN"/>
        </w:rPr>
        <w:t>The maximum total number of beams to include in one measurement report is limited to 16.</w:t>
      </w:r>
    </w:p>
    <w:p>
      <w:pPr>
        <w:spacing w:before="120" w:after="120"/>
      </w:pPr>
      <w:r>
        <w:fldChar w:fldCharType="end"/>
      </w:r>
    </w:p>
    <w:p>
      <w:pPr>
        <w:spacing w:before="120" w:after="120"/>
        <w:rPr>
          <w:b/>
          <w:color w:val="0070C0"/>
          <w:u w:val="single"/>
        </w:rPr>
      </w:pPr>
      <w:r>
        <w:rPr>
          <w:b/>
          <w:color w:val="0070C0"/>
          <w:u w:val="single"/>
        </w:rPr>
        <w:t>Information in the measurement report</w:t>
      </w:r>
      <w:bookmarkStart w:id="28" w:name="_GoBack"/>
      <w:bookmarkEnd w:id="28"/>
    </w:p>
    <w:p>
      <w:pPr>
        <w:pStyle w:val="15"/>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rPr>
        <w:t xml:space="preserve">Proposal 1: </w:t>
      </w:r>
      <w:r>
        <w:rPr>
          <w:i w:val="0"/>
          <w:iCs w:val="0"/>
        </w:rPr>
        <w:t xml:space="preserve">The content of the </w:t>
      </w:r>
      <w:r>
        <w:rPr>
          <w:rFonts w:hint="eastAsia"/>
          <w:i w:val="0"/>
          <w:iCs w:val="0"/>
          <w:lang w:val="en-US"/>
        </w:rPr>
        <w:t>event-triggered measurement report</w:t>
      </w:r>
      <w:r>
        <w:rPr>
          <w:i w:val="0"/>
          <w:iCs w:val="0"/>
        </w:rPr>
        <w:t xml:space="preserve"> </w:t>
      </w:r>
      <w:r>
        <w:rPr>
          <w:rFonts w:hint="eastAsia"/>
          <w:i w:val="0"/>
          <w:iCs w:val="0"/>
          <w:lang w:val="en-US"/>
        </w:rPr>
        <w:t xml:space="preserve">at least </w:t>
      </w:r>
      <w:r>
        <w:rPr>
          <w:i w:val="0"/>
          <w:iCs w:val="0"/>
        </w:rPr>
        <w:t>include</w:t>
      </w:r>
      <w:r>
        <w:rPr>
          <w:rFonts w:hint="eastAsia"/>
          <w:i w:val="0"/>
          <w:iCs w:val="0"/>
          <w:lang w:val="en-US"/>
        </w:rPr>
        <w:t>s</w:t>
      </w:r>
      <w:r>
        <w:rPr>
          <w:i w:val="0"/>
          <w:iCs w:val="0"/>
        </w:rPr>
        <w:t xml:space="preserve"> the following information:</w:t>
      </w:r>
    </w:p>
    <w:p>
      <w:pPr>
        <w:pStyle w:val="11"/>
        <w:tabs>
          <w:tab w:val="right" w:leader="dot" w:pos="9660"/>
        </w:tabs>
        <w:rPr>
          <w:i w:val="0"/>
          <w:iCs w:val="0"/>
        </w:rPr>
      </w:pPr>
      <w:r>
        <w:rPr>
          <w:rFonts w:hint="default" w:ascii="Arial" w:hAnsi="Arial" w:cs="Arial"/>
          <w:i w:val="0"/>
          <w:iCs w:val="0"/>
        </w:rPr>
        <w:t xml:space="preserve">- </w:t>
      </w:r>
      <w:r>
        <w:rPr>
          <w:i w:val="0"/>
          <w:iCs w:val="0"/>
        </w:rPr>
        <w:t>Beam-level measurement results</w:t>
      </w:r>
      <w:r>
        <w:rPr>
          <w:rFonts w:hint="eastAsia"/>
          <w:i w:val="0"/>
          <w:iCs w:val="0"/>
        </w:rPr>
        <w:t>, e.g. L1-RSRP;</w:t>
      </w:r>
    </w:p>
    <w:p>
      <w:pPr>
        <w:pStyle w:val="11"/>
        <w:tabs>
          <w:tab w:val="right" w:leader="dot" w:pos="9660"/>
        </w:tabs>
        <w:rPr>
          <w:i w:val="0"/>
          <w:iCs w:val="0"/>
        </w:rPr>
      </w:pPr>
      <w:r>
        <w:rPr>
          <w:rFonts w:hint="default" w:ascii="Arial" w:hAnsi="Arial" w:cs="Arial"/>
          <w:i w:val="0"/>
          <w:iCs w:val="0"/>
        </w:rPr>
        <w:t xml:space="preserve">- </w:t>
      </w:r>
      <w:r>
        <w:rPr>
          <w:rFonts w:hint="eastAsia"/>
          <w:i w:val="0"/>
          <w:iCs w:val="0"/>
        </w:rPr>
        <w:t>The corresponding beam</w:t>
      </w:r>
      <w:r>
        <w:rPr>
          <w:i w:val="0"/>
          <w:iCs w:val="0"/>
        </w:rPr>
        <w:t xml:space="preserve"> </w:t>
      </w:r>
      <w:r>
        <w:rPr>
          <w:rFonts w:hint="eastAsia"/>
          <w:i w:val="0"/>
          <w:iCs w:val="0"/>
        </w:rPr>
        <w:t>information and cell information, e.g. implicitly indicated by entry index (i.e. SSBRI) in the LTM-CSI-ResourceConfig, or explicitly indicated by beam ID and cell ID</w:t>
      </w:r>
      <w:r>
        <w:rPr>
          <w:i w:val="0"/>
          <w:iCs w:val="0"/>
        </w:rPr>
        <w:t>;</w:t>
      </w:r>
    </w:p>
    <w:p>
      <w:pPr>
        <w:pStyle w:val="11"/>
        <w:tabs>
          <w:tab w:val="right" w:leader="dot" w:pos="9660"/>
        </w:tabs>
        <w:rPr>
          <w:i w:val="0"/>
          <w:iCs w:val="0"/>
        </w:rPr>
      </w:pPr>
      <w:r>
        <w:rPr>
          <w:rFonts w:hint="default" w:ascii="Arial" w:hAnsi="Arial" w:cs="Arial"/>
          <w:i w:val="0"/>
          <w:iCs w:val="0"/>
        </w:rPr>
        <w:t xml:space="preserve">- </w:t>
      </w:r>
      <w:r>
        <w:rPr>
          <w:i w:val="0"/>
          <w:iCs w:val="0"/>
        </w:rPr>
        <w:t>Information for the triggered event</w:t>
      </w:r>
      <w:r>
        <w:rPr>
          <w:rFonts w:hint="eastAsia"/>
          <w:i w:val="0"/>
          <w:iCs w:val="0"/>
        </w:rPr>
        <w:t>, e.g. L1 measurement ID, or report configuration ID.</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2: </w:t>
      </w:r>
      <w:r>
        <w:rPr>
          <w:rFonts w:hint="eastAsia"/>
          <w:i w:val="0"/>
          <w:iCs w:val="0"/>
          <w:lang w:val="en-US" w:eastAsia="zh-CN"/>
        </w:rPr>
        <w:t>RAN2 to discuss whether</w:t>
      </w:r>
      <w:r>
        <w:rPr>
          <w:rFonts w:hint="eastAsia"/>
          <w:i w:val="0"/>
          <w:iCs w:val="0"/>
          <w:lang w:val="en-US"/>
        </w:rPr>
        <w:t xml:space="preserve"> cell-level measurement results can be optionally included in the event-triggered measurement report, e.g. according to the NW indication.</w:t>
      </w:r>
    </w:p>
    <w:p>
      <w:pPr>
        <w:pStyle w:val="15"/>
        <w:tabs>
          <w:tab w:val="right" w:leader="dot" w:pos="9660"/>
        </w:tabs>
        <w:rPr>
          <w:rFonts w:hint="eastAsia"/>
          <w:i w:val="0"/>
          <w:iCs w:val="0"/>
          <w:lang w:val="en-US"/>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3: </w:t>
      </w:r>
      <w:r>
        <w:rPr>
          <w:rFonts w:hint="eastAsia"/>
          <w:i w:val="0"/>
          <w:iCs w:val="0"/>
          <w:lang w:val="en-US" w:eastAsia="zh-CN"/>
        </w:rPr>
        <w:t>If supported by the UE, t</w:t>
      </w:r>
      <w:r>
        <w:rPr>
          <w:i w:val="0"/>
          <w:iCs w:val="0"/>
          <w:lang w:val="en-US"/>
        </w:rPr>
        <w:t>he measurement</w:t>
      </w:r>
      <w:r>
        <w:rPr>
          <w:rFonts w:hint="eastAsia"/>
          <w:i w:val="0"/>
          <w:iCs w:val="0"/>
          <w:lang w:val="en-US"/>
        </w:rPr>
        <w:t xml:space="preserve"> result of the SpCell </w:t>
      </w:r>
      <w:r>
        <w:rPr>
          <w:i w:val="0"/>
          <w:iCs w:val="0"/>
          <w:lang w:val="en-US"/>
        </w:rPr>
        <w:t xml:space="preserve">can be included </w:t>
      </w:r>
      <w:r>
        <w:rPr>
          <w:rFonts w:hint="eastAsia"/>
          <w:i w:val="0"/>
          <w:iCs w:val="0"/>
          <w:lang w:val="en-US"/>
        </w:rPr>
        <w:t>in the event-triggered measurement report</w:t>
      </w:r>
      <w:r>
        <w:rPr>
          <w:i w:val="0"/>
          <w:iCs w:val="0"/>
          <w:lang w:val="en-US"/>
        </w:rPr>
        <w:t>. RAN2 to discuss how to include it,</w:t>
      </w:r>
      <w:r>
        <w:rPr>
          <w:rFonts w:hint="eastAsia"/>
          <w:i w:val="0"/>
          <w:iCs w:val="0"/>
          <w:lang w:val="en-US"/>
        </w:rPr>
        <w:t xml:space="preserve"> e.g. mandatory include it, or optionally include it based on the explicit</w:t>
      </w:r>
      <w:r>
        <w:rPr>
          <w:i w:val="0"/>
          <w:iCs w:val="0"/>
          <w:lang w:val="en-US"/>
        </w:rPr>
        <w:t xml:space="preserve"> </w:t>
      </w:r>
      <w:r>
        <w:rPr>
          <w:rFonts w:hint="eastAsia"/>
          <w:i w:val="0"/>
          <w:iCs w:val="0"/>
          <w:lang w:val="en-US"/>
        </w:rPr>
        <w:t xml:space="preserve">indication by the NW. Whether </w:t>
      </w:r>
      <w:r>
        <w:rPr>
          <w:rFonts w:hint="eastAsia"/>
          <w:i w:val="0"/>
          <w:iCs w:val="0"/>
          <w:lang w:val="en-US" w:eastAsia="zh-CN"/>
        </w:rPr>
        <w:t>to reuse</w:t>
      </w:r>
      <w:r>
        <w:rPr>
          <w:rFonts w:hint="eastAsia"/>
          <w:i w:val="0"/>
          <w:iCs w:val="0"/>
          <w:lang w:val="en-US"/>
        </w:rPr>
        <w:t xml:space="preserve"> Rel-18 capability can be discussed later.</w:t>
      </w:r>
    </w:p>
    <w:p>
      <w:pPr>
        <w:spacing w:before="120" w:after="120"/>
      </w:pPr>
      <w:r>
        <w:rPr>
          <w:b/>
          <w:color w:val="0070C0"/>
          <w:u w:val="single"/>
        </w:rPr>
        <w:t>Measurement report configuration</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4: </w:t>
      </w:r>
      <w:r>
        <w:rPr>
          <w:rFonts w:hint="eastAsia"/>
          <w:i w:val="0"/>
          <w:iCs w:val="0"/>
          <w:lang w:val="en-US"/>
        </w:rPr>
        <w:t>The reportOnLeave is applicable to the event-triggered L1 measurement report and configurable by the NW.</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5: </w:t>
      </w:r>
      <w:r>
        <w:rPr>
          <w:rFonts w:hint="eastAsia"/>
          <w:i w:val="0"/>
          <w:iCs w:val="0"/>
          <w:lang w:val="en-US"/>
        </w:rPr>
        <w:t>RAN2 to discuss whether the allowed cell</w:t>
      </w:r>
      <w:r>
        <w:rPr>
          <w:i w:val="0"/>
          <w:iCs w:val="0"/>
          <w:lang w:val="en-US"/>
        </w:rPr>
        <w:t>/</w:t>
      </w:r>
      <w:r>
        <w:rPr>
          <w:rFonts w:hint="eastAsia"/>
          <w:i w:val="0"/>
          <w:iCs w:val="0"/>
          <w:lang w:val="en-US"/>
        </w:rPr>
        <w:t xml:space="preserve">beam list </w:t>
      </w:r>
      <w:r>
        <w:rPr>
          <w:i w:val="0"/>
          <w:iCs w:val="0"/>
          <w:lang w:val="en-US"/>
        </w:rPr>
        <w:t>is applicable to</w:t>
      </w:r>
      <w:r>
        <w:rPr>
          <w:rFonts w:hint="eastAsia"/>
          <w:i w:val="0"/>
          <w:iCs w:val="0"/>
          <w:lang w:val="en-US"/>
        </w:rPr>
        <w:t xml:space="preserve"> the event-triggered measurement report. FFS whether the allowed cell</w:t>
      </w:r>
      <w:r>
        <w:rPr>
          <w:i w:val="0"/>
          <w:iCs w:val="0"/>
          <w:lang w:val="en-US"/>
        </w:rPr>
        <w:t>/</w:t>
      </w:r>
      <w:r>
        <w:rPr>
          <w:rFonts w:hint="eastAsia"/>
          <w:i w:val="0"/>
          <w:iCs w:val="0"/>
          <w:lang w:val="en-US"/>
        </w:rPr>
        <w:t>beam list is provided in the measurement resource configuration or the measurement report configuration.</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6: </w:t>
      </w:r>
      <w:r>
        <w:rPr>
          <w:rFonts w:hint="eastAsia"/>
          <w:i w:val="0"/>
          <w:iCs w:val="0"/>
          <w:lang w:val="en-US"/>
        </w:rPr>
        <w:t>The RS used to provide the measurement results for the LTM event evaluation is configurable by the NW, e.g. include the rsType in the report configuration.</w:t>
      </w:r>
    </w:p>
    <w:p>
      <w:pPr>
        <w:pStyle w:val="15"/>
        <w:tabs>
          <w:tab w:val="right" w:leader="dot" w:pos="9660"/>
        </w:tabs>
        <w:rPr>
          <w:i w:val="0"/>
          <w:iCs w:val="0"/>
        </w:rPr>
      </w:pPr>
      <w:r>
        <w:rPr>
          <w:rFonts w:hint="default" w:ascii="Times New Roman" w:hAnsi="Times New Roman" w:eastAsiaTheme="minorEastAsia"/>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eastAsiaTheme="minorEastAsia"/>
          <w:i w:val="0"/>
          <w:iCs w:val="0"/>
          <w:lang w:val="en-US" w:eastAsia="zh-CN"/>
        </w:rPr>
        <w:t xml:space="preserve">RAN2 confirms the working assumption: </w:t>
      </w:r>
      <w:r>
        <w:rPr>
          <w:rFonts w:hint="eastAsia"/>
          <w:i w:val="0"/>
          <w:iCs w:val="0"/>
          <w:lang w:val="en-US"/>
        </w:rPr>
        <w:t>Same RS type should be used for both serving and neighbouring cell for event LTM3 and event LTM5.</w:t>
      </w:r>
      <w:r>
        <w:rPr>
          <w:rFonts w:hint="eastAsia" w:eastAsiaTheme="minorEastAsia"/>
          <w:i w:val="0"/>
          <w:iCs w:val="0"/>
          <w:lang w:val="en-US" w:eastAsia="zh-CN"/>
        </w:rPr>
        <w:t xml:space="preserve"> The RS type used for the event evaluation is indicated by the </w:t>
      </w:r>
      <w:r>
        <w:rPr>
          <w:rFonts w:hint="eastAsia"/>
          <w:i w:val="0"/>
          <w:iCs w:val="0"/>
          <w:lang w:val="en-US" w:eastAsia="zh-CN"/>
        </w:rPr>
        <w:t xml:space="preserve">NW, e.g. via </w:t>
      </w:r>
      <w:r>
        <w:rPr>
          <w:rFonts w:hint="eastAsia" w:eastAsiaTheme="minorEastAsia"/>
          <w:i w:val="0"/>
          <w:iCs w:val="0"/>
          <w:lang w:val="en-US" w:eastAsia="zh-CN"/>
        </w:rPr>
        <w:t>rsType in the report configuration.</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8: </w:t>
      </w:r>
      <w:r>
        <w:rPr>
          <w:rFonts w:hint="eastAsia"/>
          <w:i w:val="0"/>
          <w:iCs w:val="0"/>
          <w:lang w:val="en-US"/>
        </w:rPr>
        <w:t>The reportInterval and reportAmount are applicable to the event-triggered measurement report and configurable by the NW.</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9: </w:t>
      </w:r>
      <w:r>
        <w:rPr>
          <w:rFonts w:hint="eastAsia"/>
          <w:i w:val="0"/>
          <w:iCs w:val="0"/>
          <w:lang w:val="en-US"/>
        </w:rPr>
        <w:t>It</w:t>
      </w:r>
      <w:r>
        <w:rPr>
          <w:i w:val="0"/>
          <w:iCs w:val="0"/>
          <w:lang w:val="en-US"/>
        </w:rPr>
        <w:t>’</w:t>
      </w:r>
      <w:r>
        <w:rPr>
          <w:rFonts w:hint="eastAsia"/>
          <w:i w:val="0"/>
          <w:iCs w:val="0"/>
          <w:lang w:val="en-US"/>
        </w:rPr>
        <w:t xml:space="preserve">s up to RAN1 whether </w:t>
      </w:r>
      <w:r>
        <w:rPr>
          <w:i w:val="0"/>
          <w:iCs w:val="0"/>
          <w:lang w:val="en-US"/>
        </w:rPr>
        <w:t xml:space="preserve">other measurement qunatities (e.g. </w:t>
      </w:r>
      <w:r>
        <w:rPr>
          <w:rFonts w:hint="eastAsia"/>
          <w:i w:val="0"/>
          <w:iCs w:val="0"/>
          <w:lang w:val="en-US"/>
        </w:rPr>
        <w:t>L1-SINR</w:t>
      </w:r>
      <w:r>
        <w:rPr>
          <w:i w:val="0"/>
          <w:iCs w:val="0"/>
          <w:lang w:val="en-US"/>
        </w:rPr>
        <w:t>) are</w:t>
      </w:r>
      <w:r>
        <w:rPr>
          <w:rFonts w:hint="eastAsia"/>
          <w:i w:val="0"/>
          <w:iCs w:val="0"/>
          <w:lang w:val="en-US"/>
        </w:rPr>
        <w:t xml:space="preserve"> supported for event-triggered measurement report.</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10: </w:t>
      </w:r>
      <w:r>
        <w:rPr>
          <w:rFonts w:hint="eastAsia"/>
          <w:i w:val="0"/>
          <w:iCs w:val="0"/>
          <w:lang w:val="en-US"/>
        </w:rPr>
        <w:t xml:space="preserve">For event-triggered L1 measurement report, </w:t>
      </w:r>
      <w:r>
        <w:rPr>
          <w:rFonts w:hint="eastAsia"/>
          <w:i w:val="0"/>
          <w:iCs w:val="0"/>
          <w:lang w:val="en-US" w:eastAsia="zh-CN"/>
        </w:rPr>
        <w:t xml:space="preserve">if supported by the UE, </w:t>
      </w:r>
      <w:r>
        <w:rPr>
          <w:rFonts w:hint="eastAsia"/>
          <w:i w:val="0"/>
          <w:iCs w:val="0"/>
          <w:lang w:val="en-US"/>
        </w:rPr>
        <w:t>the maximum number of cells and the maximum number of beams per cell to include in the measurement report are configurable by the NW, similar to Rel-18 LTM L1 measurement. FFS whether to extend the maximum number, e.g. maximum total number of beams is 32.</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4"/>
        <w:spacing w:before="120" w:after="120"/>
        <w:ind w:left="363" w:hanging="363"/>
        <w:rPr>
          <w:szCs w:val="20"/>
        </w:rPr>
      </w:pPr>
      <w:r>
        <w:rPr>
          <w:szCs w:val="20"/>
        </w:rPr>
        <w:t xml:space="preserve">R2-2405701  </w:t>
      </w:r>
      <w:r>
        <w:rPr>
          <w:rFonts w:hint="eastAsia" w:eastAsia="宋体"/>
          <w:szCs w:val="20"/>
        </w:rPr>
        <w:t>Report from session on V2X/SL, R19 NES and MOB  Vice Chairman (Samsung)</w:t>
      </w:r>
    </w:p>
    <w:p>
      <w:pPr>
        <w:pStyle w:val="34"/>
        <w:spacing w:before="120" w:after="120"/>
        <w:ind w:left="363" w:hanging="363"/>
        <w:rPr>
          <w:szCs w:val="20"/>
        </w:rPr>
      </w:pPr>
      <w:r>
        <w:rPr>
          <w:szCs w:val="20"/>
        </w:rPr>
        <w:t>R2-2406420  Discussion on measurement event evaluation  ZTE Corporation</w:t>
      </w:r>
    </w:p>
    <w:p>
      <w:pPr>
        <w:pStyle w:val="34"/>
        <w:numPr>
          <w:ilvl w:val="0"/>
          <w:numId w:val="0"/>
        </w:numPr>
        <w:spacing w:before="120" w:after="120"/>
        <w:ind w:left="360" w:hanging="360"/>
        <w:rPr>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7FA406A"/>
    <w:multiLevelType w:val="multilevel"/>
    <w:tmpl w:val="67FA406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10F9F"/>
    <w:multiLevelType w:val="multilevel"/>
    <w:tmpl w:val="70110F9F"/>
    <w:lvl w:ilvl="0" w:tentative="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num w:numId="1">
    <w:abstractNumId w:val="2"/>
  </w:num>
  <w:num w:numId="2">
    <w:abstractNumId w:val="0"/>
  </w:num>
  <w:num w:numId="3">
    <w:abstractNumId w:val="3"/>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1428"/>
    <w:rsid w:val="000176EA"/>
    <w:rsid w:val="00044B96"/>
    <w:rsid w:val="00045A47"/>
    <w:rsid w:val="00053343"/>
    <w:rsid w:val="00053593"/>
    <w:rsid w:val="00074632"/>
    <w:rsid w:val="00096547"/>
    <w:rsid w:val="000B1599"/>
    <w:rsid w:val="000D65FC"/>
    <w:rsid w:val="000D719D"/>
    <w:rsid w:val="000E14ED"/>
    <w:rsid w:val="000E21AA"/>
    <w:rsid w:val="000E45BC"/>
    <w:rsid w:val="000E76EC"/>
    <w:rsid w:val="000F52D5"/>
    <w:rsid w:val="0011233A"/>
    <w:rsid w:val="00125CA3"/>
    <w:rsid w:val="001308BC"/>
    <w:rsid w:val="00157761"/>
    <w:rsid w:val="00164872"/>
    <w:rsid w:val="00172A27"/>
    <w:rsid w:val="001768FE"/>
    <w:rsid w:val="00193046"/>
    <w:rsid w:val="00193CD1"/>
    <w:rsid w:val="001A2BD2"/>
    <w:rsid w:val="001A2BEB"/>
    <w:rsid w:val="001B502E"/>
    <w:rsid w:val="001D6B12"/>
    <w:rsid w:val="001F7AF6"/>
    <w:rsid w:val="002035D4"/>
    <w:rsid w:val="00226843"/>
    <w:rsid w:val="002376AE"/>
    <w:rsid w:val="00244AF8"/>
    <w:rsid w:val="00253ECA"/>
    <w:rsid w:val="00261A79"/>
    <w:rsid w:val="002729B9"/>
    <w:rsid w:val="00273B16"/>
    <w:rsid w:val="00293093"/>
    <w:rsid w:val="002A6B98"/>
    <w:rsid w:val="002B42EA"/>
    <w:rsid w:val="002C0735"/>
    <w:rsid w:val="002E20A9"/>
    <w:rsid w:val="002E478D"/>
    <w:rsid w:val="002F7165"/>
    <w:rsid w:val="00301063"/>
    <w:rsid w:val="00301CD7"/>
    <w:rsid w:val="0031357A"/>
    <w:rsid w:val="003161BA"/>
    <w:rsid w:val="00324214"/>
    <w:rsid w:val="00325E7C"/>
    <w:rsid w:val="00332818"/>
    <w:rsid w:val="003522A9"/>
    <w:rsid w:val="00352DD8"/>
    <w:rsid w:val="00360DD4"/>
    <w:rsid w:val="00375B14"/>
    <w:rsid w:val="003767C0"/>
    <w:rsid w:val="00390CBE"/>
    <w:rsid w:val="00395F21"/>
    <w:rsid w:val="003C0B54"/>
    <w:rsid w:val="003C47CC"/>
    <w:rsid w:val="003D17AE"/>
    <w:rsid w:val="003E146E"/>
    <w:rsid w:val="003E4392"/>
    <w:rsid w:val="003F2455"/>
    <w:rsid w:val="00422D64"/>
    <w:rsid w:val="00441300"/>
    <w:rsid w:val="00446553"/>
    <w:rsid w:val="00446860"/>
    <w:rsid w:val="00447E2E"/>
    <w:rsid w:val="0045176E"/>
    <w:rsid w:val="00473529"/>
    <w:rsid w:val="0047493C"/>
    <w:rsid w:val="00475B67"/>
    <w:rsid w:val="00496F59"/>
    <w:rsid w:val="004A58EF"/>
    <w:rsid w:val="004A741E"/>
    <w:rsid w:val="004B2991"/>
    <w:rsid w:val="004D0887"/>
    <w:rsid w:val="004E5289"/>
    <w:rsid w:val="004E754D"/>
    <w:rsid w:val="0050382F"/>
    <w:rsid w:val="00525E65"/>
    <w:rsid w:val="005317CA"/>
    <w:rsid w:val="00534CF1"/>
    <w:rsid w:val="00572097"/>
    <w:rsid w:val="005828B2"/>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1E3E"/>
    <w:rsid w:val="00656A63"/>
    <w:rsid w:val="006807E6"/>
    <w:rsid w:val="006A036E"/>
    <w:rsid w:val="006A0B2B"/>
    <w:rsid w:val="006E7DBB"/>
    <w:rsid w:val="006F26CE"/>
    <w:rsid w:val="006F3323"/>
    <w:rsid w:val="006F4571"/>
    <w:rsid w:val="006F6FAC"/>
    <w:rsid w:val="006F75AB"/>
    <w:rsid w:val="00700478"/>
    <w:rsid w:val="00724E53"/>
    <w:rsid w:val="00740881"/>
    <w:rsid w:val="00740CCC"/>
    <w:rsid w:val="00741483"/>
    <w:rsid w:val="00777DAF"/>
    <w:rsid w:val="00796271"/>
    <w:rsid w:val="007A20E7"/>
    <w:rsid w:val="007B070D"/>
    <w:rsid w:val="007D731C"/>
    <w:rsid w:val="007E567A"/>
    <w:rsid w:val="007E64A4"/>
    <w:rsid w:val="007E7A15"/>
    <w:rsid w:val="0082091D"/>
    <w:rsid w:val="00820E09"/>
    <w:rsid w:val="00851558"/>
    <w:rsid w:val="00852DEE"/>
    <w:rsid w:val="00853063"/>
    <w:rsid w:val="00882B39"/>
    <w:rsid w:val="00885FE5"/>
    <w:rsid w:val="00890F3B"/>
    <w:rsid w:val="008B03C9"/>
    <w:rsid w:val="008B7619"/>
    <w:rsid w:val="008B7B21"/>
    <w:rsid w:val="008D236F"/>
    <w:rsid w:val="008E2B89"/>
    <w:rsid w:val="008F30BC"/>
    <w:rsid w:val="008F3CF6"/>
    <w:rsid w:val="00905CB1"/>
    <w:rsid w:val="00912575"/>
    <w:rsid w:val="009141DD"/>
    <w:rsid w:val="009401EC"/>
    <w:rsid w:val="00945B44"/>
    <w:rsid w:val="00954A8B"/>
    <w:rsid w:val="00957668"/>
    <w:rsid w:val="0096044C"/>
    <w:rsid w:val="00962ACE"/>
    <w:rsid w:val="009636F9"/>
    <w:rsid w:val="00977143"/>
    <w:rsid w:val="0099779E"/>
    <w:rsid w:val="009A61F1"/>
    <w:rsid w:val="009B6619"/>
    <w:rsid w:val="009B717C"/>
    <w:rsid w:val="009D3B70"/>
    <w:rsid w:val="009E250C"/>
    <w:rsid w:val="009F263F"/>
    <w:rsid w:val="009F756D"/>
    <w:rsid w:val="00A107A2"/>
    <w:rsid w:val="00A10BCB"/>
    <w:rsid w:val="00A263DC"/>
    <w:rsid w:val="00A36842"/>
    <w:rsid w:val="00A37B97"/>
    <w:rsid w:val="00A40102"/>
    <w:rsid w:val="00A50086"/>
    <w:rsid w:val="00A51AA5"/>
    <w:rsid w:val="00A566B3"/>
    <w:rsid w:val="00A57180"/>
    <w:rsid w:val="00A62C2C"/>
    <w:rsid w:val="00A6471B"/>
    <w:rsid w:val="00A83D77"/>
    <w:rsid w:val="00A9155C"/>
    <w:rsid w:val="00AA2E51"/>
    <w:rsid w:val="00AB675D"/>
    <w:rsid w:val="00AB7B1D"/>
    <w:rsid w:val="00AC2EAB"/>
    <w:rsid w:val="00AC4CB5"/>
    <w:rsid w:val="00AD1548"/>
    <w:rsid w:val="00AE235B"/>
    <w:rsid w:val="00AE7EDF"/>
    <w:rsid w:val="00B01B50"/>
    <w:rsid w:val="00B03CE5"/>
    <w:rsid w:val="00B1116A"/>
    <w:rsid w:val="00B2021B"/>
    <w:rsid w:val="00B23BAD"/>
    <w:rsid w:val="00B40CB3"/>
    <w:rsid w:val="00B428B5"/>
    <w:rsid w:val="00B53AA9"/>
    <w:rsid w:val="00B611BE"/>
    <w:rsid w:val="00B621C7"/>
    <w:rsid w:val="00B66323"/>
    <w:rsid w:val="00B66CB1"/>
    <w:rsid w:val="00B73C86"/>
    <w:rsid w:val="00B74AE0"/>
    <w:rsid w:val="00B817E6"/>
    <w:rsid w:val="00B85ABB"/>
    <w:rsid w:val="00B902C2"/>
    <w:rsid w:val="00BB0B7F"/>
    <w:rsid w:val="00BB2420"/>
    <w:rsid w:val="00BB6518"/>
    <w:rsid w:val="00BC0828"/>
    <w:rsid w:val="00BC558D"/>
    <w:rsid w:val="00BD572A"/>
    <w:rsid w:val="00BE35EB"/>
    <w:rsid w:val="00BF4690"/>
    <w:rsid w:val="00C03C71"/>
    <w:rsid w:val="00C04A82"/>
    <w:rsid w:val="00C06690"/>
    <w:rsid w:val="00C12E82"/>
    <w:rsid w:val="00C20A42"/>
    <w:rsid w:val="00C20ECE"/>
    <w:rsid w:val="00C2328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6631"/>
    <w:rsid w:val="00CC283C"/>
    <w:rsid w:val="00CE0843"/>
    <w:rsid w:val="00CE390F"/>
    <w:rsid w:val="00CE5620"/>
    <w:rsid w:val="00D00C8F"/>
    <w:rsid w:val="00D07997"/>
    <w:rsid w:val="00D1674B"/>
    <w:rsid w:val="00D20EC2"/>
    <w:rsid w:val="00D316E9"/>
    <w:rsid w:val="00D330AD"/>
    <w:rsid w:val="00D378DD"/>
    <w:rsid w:val="00D44606"/>
    <w:rsid w:val="00D47D66"/>
    <w:rsid w:val="00D7329F"/>
    <w:rsid w:val="00D90D16"/>
    <w:rsid w:val="00D91BA2"/>
    <w:rsid w:val="00DA2158"/>
    <w:rsid w:val="00DA6B6D"/>
    <w:rsid w:val="00DA7FC2"/>
    <w:rsid w:val="00DD1138"/>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C5784"/>
    <w:rsid w:val="00EC5D9A"/>
    <w:rsid w:val="00ED0F2F"/>
    <w:rsid w:val="00ED3579"/>
    <w:rsid w:val="00EE5F9D"/>
    <w:rsid w:val="00F122D5"/>
    <w:rsid w:val="00F37B27"/>
    <w:rsid w:val="00F41E6E"/>
    <w:rsid w:val="00F446B5"/>
    <w:rsid w:val="00F509E9"/>
    <w:rsid w:val="00F65BA8"/>
    <w:rsid w:val="00F72905"/>
    <w:rsid w:val="00F91C57"/>
    <w:rsid w:val="00F94DCD"/>
    <w:rsid w:val="00FA1948"/>
    <w:rsid w:val="00FB127C"/>
    <w:rsid w:val="00FC6E1D"/>
    <w:rsid w:val="00FD05AB"/>
    <w:rsid w:val="00FD2707"/>
    <w:rsid w:val="00FD2DE4"/>
    <w:rsid w:val="00FE3A28"/>
    <w:rsid w:val="00FF38B8"/>
    <w:rsid w:val="00FF6E47"/>
    <w:rsid w:val="00FF7F3D"/>
    <w:rsid w:val="01764F01"/>
    <w:rsid w:val="017F1B64"/>
    <w:rsid w:val="024D6B6A"/>
    <w:rsid w:val="029B04E7"/>
    <w:rsid w:val="03073BDC"/>
    <w:rsid w:val="030C5976"/>
    <w:rsid w:val="033F44DC"/>
    <w:rsid w:val="03E56336"/>
    <w:rsid w:val="041C63C8"/>
    <w:rsid w:val="043168B5"/>
    <w:rsid w:val="04793B0F"/>
    <w:rsid w:val="0555228E"/>
    <w:rsid w:val="059D1E39"/>
    <w:rsid w:val="05E078B3"/>
    <w:rsid w:val="077D0583"/>
    <w:rsid w:val="079724D0"/>
    <w:rsid w:val="07B90D0D"/>
    <w:rsid w:val="082A352F"/>
    <w:rsid w:val="08433A06"/>
    <w:rsid w:val="08C349D1"/>
    <w:rsid w:val="08C523D5"/>
    <w:rsid w:val="08FD1F99"/>
    <w:rsid w:val="09826CBD"/>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DE56EF3"/>
    <w:rsid w:val="1E056606"/>
    <w:rsid w:val="1E9D6342"/>
    <w:rsid w:val="204E6676"/>
    <w:rsid w:val="2195668B"/>
    <w:rsid w:val="21BE5AD4"/>
    <w:rsid w:val="22BA58F2"/>
    <w:rsid w:val="23013F7F"/>
    <w:rsid w:val="23081A49"/>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006E1"/>
    <w:rsid w:val="30D17E68"/>
    <w:rsid w:val="30FF2795"/>
    <w:rsid w:val="31E164CB"/>
    <w:rsid w:val="3218325E"/>
    <w:rsid w:val="323A3E75"/>
    <w:rsid w:val="329A6ACE"/>
    <w:rsid w:val="33607071"/>
    <w:rsid w:val="352B7EE1"/>
    <w:rsid w:val="35EB3B29"/>
    <w:rsid w:val="360B1D73"/>
    <w:rsid w:val="361F3323"/>
    <w:rsid w:val="36AC6A50"/>
    <w:rsid w:val="36E93760"/>
    <w:rsid w:val="377E620D"/>
    <w:rsid w:val="3784394E"/>
    <w:rsid w:val="379F4841"/>
    <w:rsid w:val="386A5084"/>
    <w:rsid w:val="38AE3BB0"/>
    <w:rsid w:val="38BE7081"/>
    <w:rsid w:val="39856CD6"/>
    <w:rsid w:val="3A5370DD"/>
    <w:rsid w:val="3AAC3CC0"/>
    <w:rsid w:val="3AC71DA2"/>
    <w:rsid w:val="3ACB5746"/>
    <w:rsid w:val="3BB20883"/>
    <w:rsid w:val="3BCB033F"/>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0A036B"/>
    <w:rsid w:val="45BE6191"/>
    <w:rsid w:val="460C5979"/>
    <w:rsid w:val="461D39FA"/>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4EA51CE"/>
    <w:rsid w:val="55DD6F2A"/>
    <w:rsid w:val="56E23970"/>
    <w:rsid w:val="57155486"/>
    <w:rsid w:val="577A3C7D"/>
    <w:rsid w:val="578F220A"/>
    <w:rsid w:val="57B7731C"/>
    <w:rsid w:val="57FC07D9"/>
    <w:rsid w:val="58500F22"/>
    <w:rsid w:val="591C0009"/>
    <w:rsid w:val="5ACF0F3A"/>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053BF3"/>
    <w:rsid w:val="6E7F4379"/>
    <w:rsid w:val="6F901B66"/>
    <w:rsid w:val="6FA629D4"/>
    <w:rsid w:val="6FC05247"/>
    <w:rsid w:val="6FD10552"/>
    <w:rsid w:val="70BB2EF0"/>
    <w:rsid w:val="713D4C49"/>
    <w:rsid w:val="725851C3"/>
    <w:rsid w:val="73414765"/>
    <w:rsid w:val="73455C21"/>
    <w:rsid w:val="735411F5"/>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AF7E50"/>
    <w:rsid w:val="79D33056"/>
    <w:rsid w:val="7A0628E6"/>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link w:val="68"/>
    <w:qFormat/>
    <w:uiPriority w:val="99"/>
  </w:style>
  <w:style w:type="paragraph" w:styleId="11">
    <w:name w:val="toc 3"/>
    <w:basedOn w:val="1"/>
    <w:next w:val="1"/>
    <w:link w:val="45"/>
    <w:unhideWhenUsed/>
    <w:qFormat/>
    <w:uiPriority w:val="39"/>
    <w:pPr>
      <w:ind w:left="880" w:leftChars="400"/>
    </w:pPr>
    <w:rPr>
      <w:b/>
      <w:i/>
    </w:rPr>
  </w:style>
  <w:style w:type="paragraph" w:styleId="12">
    <w:name w:val="Balloon Text"/>
    <w:basedOn w:val="1"/>
    <w:link w:val="26"/>
    <w:semiHidden/>
    <w:unhideWhenUsed/>
    <w:qFormat/>
    <w:uiPriority w:val="99"/>
    <w:pPr>
      <w:spacing w:after="0" w:line="240" w:lineRule="auto"/>
    </w:pPr>
    <w:rPr>
      <w:rFonts w:ascii="Microsoft YaHei UI" w:eastAsia="Microsoft YaHei UI"/>
      <w:sz w:val="18"/>
      <w:szCs w:val="18"/>
    </w:rPr>
  </w:style>
  <w:style w:type="paragraph" w:styleId="13">
    <w:name w:val="footer"/>
    <w:link w:val="52"/>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4">
    <w:name w:val="header"/>
    <w:link w:val="36"/>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5">
    <w:name w:val="toc 1"/>
    <w:basedOn w:val="1"/>
    <w:next w:val="1"/>
    <w:link w:val="39"/>
    <w:unhideWhenUsed/>
    <w:qFormat/>
    <w:uiPriority w:val="39"/>
    <w:rPr>
      <w:b/>
      <w:i/>
    </w:rPr>
  </w:style>
  <w:style w:type="paragraph" w:styleId="16">
    <w:name w:val="List 5"/>
    <w:basedOn w:val="17"/>
    <w:qFormat/>
    <w:uiPriority w:val="0"/>
    <w:pPr>
      <w:ind w:left="1702"/>
    </w:pPr>
  </w:style>
  <w:style w:type="paragraph" w:styleId="17">
    <w:name w:val="List 4"/>
    <w:basedOn w:val="7"/>
    <w:qFormat/>
    <w:uiPriority w:val="0"/>
    <w:pPr>
      <w:ind w:left="1418"/>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2"/>
    <w:unhideWhenUsed/>
    <w:qFormat/>
    <w:uiPriority w:val="39"/>
    <w:pPr>
      <w:snapToGrid w:val="0"/>
      <w:ind w:left="618" w:leftChars="200"/>
    </w:pPr>
    <w:rPr>
      <w:b/>
      <w:i/>
    </w:rPr>
  </w:style>
  <w:style w:type="paragraph" w:styleId="20">
    <w:name w:val="Normal (Web)"/>
    <w:basedOn w:val="1"/>
    <w:semiHidden/>
    <w:unhideWhenUsed/>
    <w:uiPriority w:val="99"/>
    <w:rPr>
      <w:sz w:val="24"/>
    </w:rPr>
  </w:style>
  <w:style w:type="paragraph" w:styleId="21">
    <w:name w:val="annotation subject"/>
    <w:basedOn w:val="10"/>
    <w:next w:val="10"/>
    <w:link w:val="69"/>
    <w:semiHidden/>
    <w:unhideWhenUsed/>
    <w:uiPriority w:val="99"/>
    <w:pPr>
      <w:jc w:val="left"/>
    </w:pPr>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character" w:styleId="25">
    <w:name w:val="annotation reference"/>
    <w:basedOn w:val="24"/>
    <w:qFormat/>
    <w:uiPriority w:val="0"/>
    <w:rPr>
      <w:sz w:val="16"/>
      <w:szCs w:val="16"/>
    </w:rPr>
  </w:style>
  <w:style w:type="character" w:customStyle="1" w:styleId="26">
    <w:name w:val="批注框文本 字符"/>
    <w:basedOn w:val="24"/>
    <w:link w:val="12"/>
    <w:semiHidden/>
    <w:qFormat/>
    <w:uiPriority w:val="99"/>
    <w:rPr>
      <w:rFonts w:ascii="Microsoft YaHei UI" w:eastAsia="Microsoft YaHei UI"/>
      <w:kern w:val="2"/>
      <w:sz w:val="18"/>
      <w:szCs w:val="18"/>
    </w:rPr>
  </w:style>
  <w:style w:type="paragraph" w:customStyle="1" w:styleId="2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8">
    <w:name w:val="!ZTE-Observation-2021"/>
    <w:basedOn w:val="1"/>
    <w:link w:val="62"/>
    <w:qFormat/>
    <w:uiPriority w:val="0"/>
    <w:pPr>
      <w:snapToGrid w:val="0"/>
      <w:spacing w:before="50" w:after="50"/>
      <w:jc w:val="left"/>
      <w:textAlignment w:val="center"/>
    </w:pPr>
    <w:rPr>
      <w:rFonts w:cs="宋体" w:eastAsiaTheme="minorEastAsia"/>
      <w:b/>
      <w:bCs/>
      <w:i/>
      <w:iCs/>
      <w:lang w:val="en-GB" w:eastAsia="en-US"/>
    </w:rPr>
  </w:style>
  <w:style w:type="paragraph" w:customStyle="1" w:styleId="29">
    <w:name w:val="!ZTE-Proposal-2021 + 段前: 0.5 行 段后: 0.5 行"/>
    <w:basedOn w:val="1"/>
    <w:link w:val="74"/>
    <w:qFormat/>
    <w:uiPriority w:val="0"/>
    <w:pPr>
      <w:spacing w:before="50" w:after="50"/>
      <w:jc w:val="left"/>
    </w:pPr>
    <w:rPr>
      <w:rFonts w:cs="宋体" w:eastAsiaTheme="minorEastAsia"/>
      <w:b/>
      <w:bCs/>
      <w:iCs/>
      <w:lang w:val="en-GB"/>
    </w:rPr>
  </w:style>
  <w:style w:type="paragraph" w:customStyle="1" w:styleId="30">
    <w:name w:val="sub-proposal"/>
    <w:basedOn w:val="1"/>
    <w:qFormat/>
    <w:uiPriority w:val="0"/>
    <w:pPr>
      <w:tabs>
        <w:tab w:val="left" w:pos="0"/>
        <w:tab w:val="left" w:pos="420"/>
        <w:tab w:val="left" w:pos="567"/>
        <w:tab w:val="left" w:pos="993"/>
      </w:tabs>
      <w:spacing w:before="120" w:after="120"/>
      <w:jc w:val="left"/>
    </w:pPr>
    <w:rPr>
      <w:rFonts w:eastAsiaTheme="minorEastAsia"/>
      <w:b/>
      <w:bCs/>
      <w:i/>
      <w:iCs/>
    </w:rPr>
  </w:style>
  <w:style w:type="paragraph" w:customStyle="1" w:styleId="31">
    <w:name w:val="sub-observation"/>
    <w:basedOn w:val="30"/>
    <w:qFormat/>
    <w:uiPriority w:val="0"/>
  </w:style>
  <w:style w:type="paragraph" w:customStyle="1" w:styleId="32">
    <w:name w:val="3rd level proposal"/>
    <w:basedOn w:val="30"/>
    <w:qFormat/>
    <w:uiPriority w:val="0"/>
    <w:pPr>
      <w:numPr>
        <w:ilvl w:val="0"/>
        <w:numId w:val="2"/>
      </w:numPr>
      <w:ind w:left="1199" w:leftChars="496" w:hanging="207" w:hangingChars="103"/>
    </w:pPr>
  </w:style>
  <w:style w:type="paragraph" w:customStyle="1" w:styleId="33">
    <w:name w:val="3rd level observation"/>
    <w:basedOn w:val="31"/>
    <w:qFormat/>
    <w:uiPriority w:val="0"/>
    <w:pPr>
      <w:numPr>
        <w:ilvl w:val="0"/>
        <w:numId w:val="3"/>
      </w:numPr>
      <w:tabs>
        <w:tab w:val="left" w:pos="1134"/>
        <w:tab w:val="clear" w:pos="993"/>
      </w:tabs>
      <w:ind w:left="1131" w:leftChars="496" w:hanging="139" w:hangingChars="69"/>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qFormat/>
    <w:uiPriority w:val="34"/>
    <w:pPr>
      <w:spacing w:beforeLines="0"/>
      <w:ind w:left="720"/>
      <w:contextualSpacing/>
    </w:pPr>
    <w:rPr>
      <w:sz w:val="24"/>
      <w:szCs w:val="24"/>
    </w:rPr>
  </w:style>
  <w:style w:type="character" w:customStyle="1" w:styleId="36">
    <w:name w:val="页眉 字符"/>
    <w:basedOn w:val="24"/>
    <w:link w:val="14"/>
    <w:qFormat/>
    <w:uiPriority w:val="99"/>
    <w:rPr>
      <w:rFonts w:eastAsia="Times New Roman"/>
      <w:kern w:val="2"/>
      <w:sz w:val="18"/>
      <w:szCs w:val="18"/>
    </w:rPr>
  </w:style>
  <w:style w:type="paragraph" w:customStyle="1" w:styleId="37">
    <w:name w:val="ZTE-C-proposal"/>
    <w:basedOn w:val="15"/>
    <w:link w:val="40"/>
    <w:qFormat/>
    <w:uiPriority w:val="0"/>
    <w:pPr>
      <w:spacing w:before="120" w:after="120"/>
      <w:ind w:left="1104" w:hanging="1104" w:hangingChars="550"/>
    </w:pPr>
  </w:style>
  <w:style w:type="paragraph" w:customStyle="1" w:styleId="38">
    <w:name w:val="ZTE-C-subProposal"/>
    <w:basedOn w:val="19"/>
    <w:link w:val="43"/>
    <w:qFormat/>
    <w:uiPriority w:val="0"/>
    <w:pPr>
      <w:tabs>
        <w:tab w:val="left" w:pos="993"/>
        <w:tab w:val="right" w:leader="dot" w:pos="9650"/>
      </w:tabs>
      <w:spacing w:before="120" w:after="120"/>
      <w:ind w:left="708" w:leftChars="354"/>
    </w:pPr>
  </w:style>
  <w:style w:type="character" w:customStyle="1" w:styleId="39">
    <w:name w:val="TOC 1 字符"/>
    <w:basedOn w:val="24"/>
    <w:link w:val="15"/>
    <w:qFormat/>
    <w:uiPriority w:val="39"/>
    <w:rPr>
      <w:rFonts w:eastAsia="Times New Roman"/>
      <w:b/>
      <w:i/>
      <w:kern w:val="2"/>
    </w:rPr>
  </w:style>
  <w:style w:type="character" w:customStyle="1" w:styleId="40">
    <w:name w:val="ZTE-C-proposal 字符"/>
    <w:basedOn w:val="39"/>
    <w:link w:val="37"/>
    <w:qFormat/>
    <w:uiPriority w:val="0"/>
    <w:rPr>
      <w:rFonts w:eastAsia="Times New Roman"/>
      <w:color w:val="000000"/>
      <w:kern w:val="2"/>
    </w:rPr>
  </w:style>
  <w:style w:type="paragraph" w:customStyle="1" w:styleId="41">
    <w:name w:val="ZTE-C-3rd level proposal"/>
    <w:basedOn w:val="11"/>
    <w:link w:val="46"/>
    <w:qFormat/>
    <w:uiPriority w:val="0"/>
    <w:pPr>
      <w:tabs>
        <w:tab w:val="left" w:pos="1276"/>
        <w:tab w:val="right" w:leader="dot" w:pos="9650"/>
      </w:tabs>
      <w:spacing w:before="120" w:after="120"/>
      <w:ind w:left="1134" w:leftChars="567"/>
    </w:pPr>
  </w:style>
  <w:style w:type="character" w:customStyle="1" w:styleId="42">
    <w:name w:val="TOC 2 字符"/>
    <w:basedOn w:val="24"/>
    <w:link w:val="19"/>
    <w:qFormat/>
    <w:uiPriority w:val="39"/>
    <w:rPr>
      <w:rFonts w:eastAsia="Times New Roman"/>
      <w:b/>
      <w:i/>
      <w:kern w:val="2"/>
    </w:rPr>
  </w:style>
  <w:style w:type="character" w:customStyle="1" w:styleId="43">
    <w:name w:val="ZTE-C-subProposal 字符"/>
    <w:basedOn w:val="42"/>
    <w:link w:val="38"/>
    <w:qFormat/>
    <w:uiPriority w:val="0"/>
    <w:rPr>
      <w:rFonts w:eastAsia="Times New Roman"/>
      <w:kern w:val="2"/>
    </w:rPr>
  </w:style>
  <w:style w:type="paragraph" w:customStyle="1" w:styleId="44">
    <w:name w:val="ZTE-C-Observation"/>
    <w:basedOn w:val="15"/>
    <w:link w:val="48"/>
    <w:qFormat/>
    <w:uiPriority w:val="0"/>
    <w:pPr>
      <w:tabs>
        <w:tab w:val="left" w:pos="1470"/>
        <w:tab w:val="right" w:pos="9650"/>
      </w:tabs>
      <w:spacing w:before="120" w:after="120"/>
      <w:ind w:left="1273" w:hanging="1273" w:hangingChars="634"/>
    </w:pPr>
  </w:style>
  <w:style w:type="character" w:customStyle="1" w:styleId="45">
    <w:name w:val="TOC 3 字符"/>
    <w:basedOn w:val="24"/>
    <w:link w:val="11"/>
    <w:qFormat/>
    <w:uiPriority w:val="39"/>
    <w:rPr>
      <w:rFonts w:eastAsia="Times New Roman"/>
      <w:b/>
      <w:i/>
      <w:kern w:val="2"/>
    </w:rPr>
  </w:style>
  <w:style w:type="character" w:customStyle="1" w:styleId="46">
    <w:name w:val="ZTE-C-3rd level proposal 字符"/>
    <w:basedOn w:val="45"/>
    <w:link w:val="41"/>
    <w:qFormat/>
    <w:uiPriority w:val="0"/>
    <w:rPr>
      <w:rFonts w:eastAsia="Times New Roman"/>
      <w:kern w:val="2"/>
    </w:rPr>
  </w:style>
  <w:style w:type="paragraph" w:customStyle="1" w:styleId="47">
    <w:name w:val="ZTE-C-sub-Observation"/>
    <w:basedOn w:val="19"/>
    <w:link w:val="50"/>
    <w:qFormat/>
    <w:uiPriority w:val="0"/>
    <w:pPr>
      <w:tabs>
        <w:tab w:val="left" w:pos="993"/>
        <w:tab w:val="right" w:pos="9650"/>
      </w:tabs>
      <w:spacing w:before="120" w:after="120"/>
      <w:ind w:left="850" w:leftChars="425"/>
    </w:pPr>
  </w:style>
  <w:style w:type="character" w:customStyle="1" w:styleId="48">
    <w:name w:val="ZTE-C-Observation 字符"/>
    <w:basedOn w:val="39"/>
    <w:link w:val="44"/>
    <w:qFormat/>
    <w:uiPriority w:val="0"/>
    <w:rPr>
      <w:rFonts w:eastAsia="Times New Roman"/>
      <w:kern w:val="2"/>
    </w:rPr>
  </w:style>
  <w:style w:type="paragraph" w:customStyle="1" w:styleId="49">
    <w:name w:val="ZTE-C-3rd level Observation"/>
    <w:basedOn w:val="11"/>
    <w:link w:val="51"/>
    <w:qFormat/>
    <w:uiPriority w:val="0"/>
    <w:pPr>
      <w:tabs>
        <w:tab w:val="left" w:pos="1260"/>
        <w:tab w:val="right" w:pos="9650"/>
      </w:tabs>
      <w:spacing w:before="120" w:after="120"/>
      <w:ind w:left="1134" w:leftChars="567"/>
    </w:pPr>
  </w:style>
  <w:style w:type="character" w:customStyle="1" w:styleId="50">
    <w:name w:val="ZTE-C-sub-Observation 字符"/>
    <w:basedOn w:val="42"/>
    <w:link w:val="47"/>
    <w:qFormat/>
    <w:uiPriority w:val="0"/>
    <w:rPr>
      <w:rFonts w:eastAsia="Times New Roman"/>
      <w:kern w:val="2"/>
    </w:rPr>
  </w:style>
  <w:style w:type="character" w:customStyle="1" w:styleId="51">
    <w:name w:val="ZTE-C-3rd level Observation 字符"/>
    <w:basedOn w:val="45"/>
    <w:link w:val="49"/>
    <w:qFormat/>
    <w:uiPriority w:val="0"/>
    <w:rPr>
      <w:rFonts w:eastAsia="Times New Roman"/>
      <w:kern w:val="2"/>
    </w:rPr>
  </w:style>
  <w:style w:type="character" w:customStyle="1" w:styleId="52">
    <w:name w:val="页脚 字符"/>
    <w:basedOn w:val="24"/>
    <w:link w:val="13"/>
    <w:qFormat/>
    <w:uiPriority w:val="99"/>
    <w:rPr>
      <w:rFonts w:eastAsia="Times New Roman"/>
      <w:kern w:val="2"/>
      <w:sz w:val="18"/>
      <w:szCs w:val="18"/>
    </w:rPr>
  </w:style>
  <w:style w:type="paragraph" w:customStyle="1" w:styleId="53">
    <w:name w:val="Agreement"/>
    <w:basedOn w:val="1"/>
    <w:next w:val="54"/>
    <w:qFormat/>
    <w:uiPriority w:val="0"/>
    <w:pPr>
      <w:tabs>
        <w:tab w:val="left" w:pos="1619"/>
      </w:tabs>
      <w:spacing w:before="60"/>
      <w:ind w:left="811" w:hanging="448"/>
      <w:jc w:val="left"/>
    </w:pPr>
    <w:rPr>
      <w:rFonts w:ascii="Arial" w:hAnsi="Arial" w:eastAsia="MS Mincho"/>
      <w:b/>
      <w:kern w:val="0"/>
      <w:lang w:val="en-GB" w:eastAsia="en-GB"/>
    </w:rPr>
  </w:style>
  <w:style w:type="paragraph" w:customStyle="1" w:styleId="54">
    <w:name w:val="Doc-text2"/>
    <w:basedOn w:val="1"/>
    <w:link w:val="71"/>
    <w:qFormat/>
    <w:uiPriority w:val="0"/>
    <w:pPr>
      <w:tabs>
        <w:tab w:val="left" w:pos="1622"/>
      </w:tabs>
      <w:ind w:left="1622" w:hanging="363"/>
      <w:jc w:val="left"/>
    </w:pPr>
    <w:rPr>
      <w:rFonts w:ascii="Arial" w:hAnsi="Arial" w:eastAsia="MS Mincho"/>
      <w:kern w:val="0"/>
      <w:lang w:val="en-GB" w:eastAsia="en-GB"/>
    </w:rPr>
  </w:style>
  <w:style w:type="paragraph" w:customStyle="1" w:styleId="55">
    <w:name w:val="B1"/>
    <w:basedOn w:val="9"/>
    <w:link w:val="66"/>
    <w:qFormat/>
    <w:uiPriority w:val="0"/>
  </w:style>
  <w:style w:type="paragraph" w:customStyle="1" w:styleId="56">
    <w:name w:val="B2"/>
    <w:basedOn w:val="8"/>
    <w:qFormat/>
    <w:uiPriority w:val="0"/>
  </w:style>
  <w:style w:type="paragraph" w:customStyle="1" w:styleId="57">
    <w:name w:val="B3"/>
    <w:basedOn w:val="7"/>
    <w:qFormat/>
    <w:uiPriority w:val="0"/>
  </w:style>
  <w:style w:type="paragraph" w:customStyle="1" w:styleId="58">
    <w:name w:val="NO"/>
    <w:basedOn w:val="1"/>
    <w:qFormat/>
    <w:uiPriority w:val="0"/>
    <w:pPr>
      <w:keepLines/>
      <w:ind w:left="1135" w:hanging="851"/>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H"/>
    <w:basedOn w:val="1"/>
    <w:link w:val="67"/>
    <w:qFormat/>
    <w:uiPriority w:val="0"/>
    <w:pPr>
      <w:keepNext/>
      <w:keepLines/>
      <w:spacing w:before="60"/>
      <w:jc w:val="center"/>
    </w:pPr>
    <w:rPr>
      <w:rFonts w:ascii="Arial" w:hAnsi="Arial"/>
      <w:b/>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2">
    <w:name w:val="!ZTE-Observation-2021 Char"/>
    <w:link w:val="28"/>
    <w:qFormat/>
    <w:uiPriority w:val="0"/>
    <w:rPr>
      <w:rFonts w:ascii="Times New Roman" w:hAnsi="Times New Roman" w:cs="宋体" w:eastAsiaTheme="minorEastAsia"/>
      <w:b/>
      <w:bCs/>
      <w:i/>
      <w:iCs/>
      <w:sz w:val="20"/>
      <w:lang w:val="en-GB" w:eastAsia="en-US"/>
    </w:rPr>
  </w:style>
  <w:style w:type="paragraph" w:customStyle="1" w:styleId="63">
    <w:name w:val="B4"/>
    <w:basedOn w:val="17"/>
    <w:qFormat/>
    <w:uiPriority w:val="0"/>
  </w:style>
  <w:style w:type="paragraph" w:customStyle="1" w:styleId="64">
    <w:name w:val="B5"/>
    <w:basedOn w:val="16"/>
    <w:qFormat/>
    <w:uiPriority w:val="0"/>
  </w:style>
  <w:style w:type="paragraph" w:customStyle="1" w:styleId="65">
    <w:name w:val="TF"/>
    <w:basedOn w:val="60"/>
    <w:qFormat/>
    <w:uiPriority w:val="0"/>
    <w:pPr>
      <w:keepNext w:val="0"/>
      <w:spacing w:before="0" w:after="240"/>
    </w:pPr>
  </w:style>
  <w:style w:type="character" w:customStyle="1" w:styleId="66">
    <w:name w:val="B1 Zchn"/>
    <w:link w:val="55"/>
    <w:qFormat/>
    <w:uiPriority w:val="0"/>
    <w:rPr>
      <w:rFonts w:eastAsia="Times New Roman"/>
      <w:kern w:val="2"/>
    </w:rPr>
  </w:style>
  <w:style w:type="character" w:customStyle="1" w:styleId="67">
    <w:name w:val="TH Char"/>
    <w:link w:val="60"/>
    <w:qFormat/>
    <w:uiPriority w:val="0"/>
    <w:rPr>
      <w:rFonts w:ascii="Arial" w:hAnsi="Arial" w:eastAsia="Times New Roman"/>
      <w:b/>
      <w:kern w:val="2"/>
    </w:rPr>
  </w:style>
  <w:style w:type="character" w:customStyle="1" w:styleId="68">
    <w:name w:val="批注文字 字符"/>
    <w:basedOn w:val="24"/>
    <w:link w:val="10"/>
    <w:qFormat/>
    <w:uiPriority w:val="99"/>
    <w:rPr>
      <w:rFonts w:eastAsia="Times New Roman"/>
      <w:kern w:val="2"/>
    </w:rPr>
  </w:style>
  <w:style w:type="character" w:customStyle="1" w:styleId="69">
    <w:name w:val="批注主题 字符"/>
    <w:basedOn w:val="68"/>
    <w:link w:val="21"/>
    <w:semiHidden/>
    <w:qFormat/>
    <w:uiPriority w:val="99"/>
    <w:rPr>
      <w:rFonts w:eastAsia="Times New Roman"/>
      <w:b/>
      <w:bCs/>
      <w:kern w:val="2"/>
    </w:rPr>
  </w:style>
  <w:style w:type="paragraph" w:customStyle="1" w:styleId="70">
    <w:name w:val="修订1"/>
    <w:hidden/>
    <w:semiHidden/>
    <w:qFormat/>
    <w:uiPriority w:val="99"/>
    <w:pPr>
      <w:spacing w:after="0" w:line="240" w:lineRule="auto"/>
    </w:pPr>
    <w:rPr>
      <w:rFonts w:ascii="Times New Roman" w:hAnsi="Times New Roman" w:eastAsia="Times New Roman" w:cs="Times New Roman"/>
      <w:kern w:val="2"/>
      <w:lang w:val="en-US" w:eastAsia="zh-CN" w:bidi="ar-SA"/>
    </w:rPr>
  </w:style>
  <w:style w:type="character" w:customStyle="1" w:styleId="71">
    <w:name w:val="Doc-text2 Char"/>
    <w:link w:val="54"/>
    <w:qFormat/>
    <w:uiPriority w:val="0"/>
    <w:rPr>
      <w:rFonts w:ascii="Arial" w:hAnsi="Arial" w:eastAsia="MS Mincho"/>
      <w:lang w:val="en-GB" w:eastAsia="en-GB"/>
    </w:rPr>
  </w:style>
  <w:style w:type="character" w:customStyle="1" w:styleId="72">
    <w:name w:val="Doc-text2 Char Char"/>
    <w:qFormat/>
    <w:uiPriority w:val="0"/>
    <w:rPr>
      <w:rFonts w:ascii="Arial" w:hAnsi="Arial" w:eastAsia="MS Mincho"/>
      <w:szCs w:val="24"/>
      <w:lang w:val="en-GB" w:eastAsia="en-GB"/>
    </w:rPr>
  </w:style>
  <w:style w:type="character" w:customStyle="1" w:styleId="73">
    <w:name w:val="PL Char"/>
    <w:basedOn w:val="24"/>
    <w:qFormat/>
    <w:uiPriority w:val="0"/>
    <w:rPr>
      <w:rFonts w:hint="default" w:ascii="Courier New" w:hAnsi="Courier New" w:eastAsia="Times New Roman" w:cs="Courier New"/>
      <w:sz w:val="16"/>
      <w:shd w:val="clear" w:color="auto" w:fill="E6E6E6"/>
      <w:lang w:val="en-US" w:eastAsia="en-US"/>
    </w:rPr>
  </w:style>
  <w:style w:type="character" w:customStyle="1" w:styleId="74">
    <w:name w:val="!ZTE-Proposal-2021 + 段前: 0.5 行 段后: 0.5 行 Char"/>
    <w:link w:val="29"/>
    <w:qFormat/>
    <w:uiPriority w:val="0"/>
    <w:rPr>
      <w:rFonts w:cs="宋体" w:eastAsiaTheme="minorEastAsia"/>
      <w:b/>
      <w:bCs/>
      <w:iCs/>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BABD1-821E-404E-8DCB-26079C7F837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2811</Words>
  <Characters>16027</Characters>
  <Lines>133</Lines>
  <Paragraphs>37</Paragraphs>
  <TotalTime>0</TotalTime>
  <ScaleCrop>false</ScaleCrop>
  <LinksUpToDate>false</LinksUpToDate>
  <CharactersWithSpaces>18801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2024-08-09T08:01:53Z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